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5EACB1">
      <w:pPr>
        <w:jc w:val="center"/>
        <w:rPr>
          <w:rFonts w:hint="eastAsia"/>
          <w:b/>
          <w:bCs/>
          <w:sz w:val="44"/>
          <w:szCs w:val="44"/>
          <w:lang w:val="en-US" w:eastAsia="zh-CN"/>
        </w:rPr>
      </w:pPr>
      <w:r>
        <w:rPr>
          <w:rFonts w:hint="eastAsia"/>
          <w:b/>
          <w:bCs/>
          <w:sz w:val="44"/>
          <w:szCs w:val="44"/>
          <w:lang w:val="en-US" w:eastAsia="zh-CN"/>
        </w:rPr>
        <w:t>上海立信会计金融学院2025年度中外合作办学项目办学报告</w:t>
      </w:r>
    </w:p>
    <w:p w14:paraId="2104CFEE">
      <w:pPr>
        <w:jc w:val="both"/>
        <w:rPr>
          <w:rFonts w:hint="eastAsia"/>
          <w:b/>
          <w:bCs/>
          <w:sz w:val="28"/>
          <w:szCs w:val="28"/>
          <w:lang w:val="en-US" w:eastAsia="zh-CN"/>
        </w:rPr>
      </w:pPr>
    </w:p>
    <w:p w14:paraId="2A851B6B">
      <w:pPr>
        <w:keepNext w:val="0"/>
        <w:keepLines w:val="0"/>
        <w:pageBreakBefore w:val="0"/>
        <w:widowControl w:val="0"/>
        <w:numPr>
          <w:ilvl w:val="0"/>
          <w:numId w:val="1"/>
        </w:numPr>
        <w:kinsoku/>
        <w:wordWrap/>
        <w:overflowPunct/>
        <w:topLinePunct w:val="0"/>
        <w:autoSpaceDE/>
        <w:autoSpaceDN/>
        <w:bidi w:val="0"/>
        <w:snapToGrid/>
        <w:spacing w:line="520" w:lineRule="atLeast"/>
        <w:ind w:left="0" w:firstLine="562" w:firstLineChars="200"/>
        <w:jc w:val="both"/>
        <w:textAlignment w:val="auto"/>
        <w:rPr>
          <w:rFonts w:hint="eastAsia"/>
          <w:b/>
          <w:bCs/>
          <w:sz w:val="28"/>
          <w:szCs w:val="28"/>
          <w:lang w:val="en-US" w:eastAsia="zh-CN"/>
        </w:rPr>
      </w:pPr>
      <w:r>
        <w:rPr>
          <w:rFonts w:hint="eastAsia"/>
          <w:b/>
          <w:bCs/>
          <w:sz w:val="28"/>
          <w:szCs w:val="28"/>
          <w:lang w:val="en-US" w:eastAsia="zh-CN"/>
        </w:rPr>
        <w:t>办学基本情况</w:t>
      </w:r>
    </w:p>
    <w:p w14:paraId="20E34467">
      <w:pPr>
        <w:keepNext w:val="0"/>
        <w:keepLines w:val="0"/>
        <w:pageBreakBefore w:val="0"/>
        <w:widowControl w:val="0"/>
        <w:kinsoku/>
        <w:wordWrap/>
        <w:overflowPunct/>
        <w:topLinePunct w:val="0"/>
        <w:autoSpaceDE/>
        <w:autoSpaceDN/>
        <w:bidi w:val="0"/>
        <w:snapToGrid/>
        <w:spacing w:line="520" w:lineRule="atLeast"/>
        <w:ind w:left="0" w:firstLine="560" w:firstLineChars="200"/>
        <w:textAlignment w:val="auto"/>
        <w:rPr>
          <w:rFonts w:hint="eastAsia" w:ascii="宋体" w:hAnsi="宋体" w:eastAsia="宋体"/>
          <w:sz w:val="28"/>
          <w:szCs w:val="28"/>
        </w:rPr>
      </w:pPr>
      <w:r>
        <w:rPr>
          <w:rFonts w:hint="eastAsia" w:ascii="宋体" w:hAnsi="宋体" w:eastAsia="宋体"/>
          <w:sz w:val="28"/>
          <w:szCs w:val="28"/>
        </w:rPr>
        <w:t>根据《中华人民共和国高等教育法》《中华人民共和国中外合作办学条例》及其实施办法的有关规定，上海立信会计金融学院与美国新泽西理工学院合作举办金融工程（金融科技方向）本科中外合作办学项目于2019年获得教育部正式批准（批准书编号：MOE31US2A20181957N），并于2020年起纳入普通高等学校统一招生计划。因合作方新泽西理工学院于2022年8月单方面提出终止合作，本项目自2023年起暂停招生，2024年、2025年均未开展招生工作。截至2025年底，项目在校生97人，已入学学生培养工作按原计划有序推进，未受项目暂停影响。</w:t>
      </w:r>
    </w:p>
    <w:p w14:paraId="4BE303DF">
      <w:pPr>
        <w:keepNext w:val="0"/>
        <w:keepLines w:val="0"/>
        <w:pageBreakBefore w:val="0"/>
        <w:widowControl w:val="0"/>
        <w:kinsoku/>
        <w:wordWrap/>
        <w:overflowPunct/>
        <w:topLinePunct w:val="0"/>
        <w:autoSpaceDE/>
        <w:autoSpaceDN/>
        <w:bidi w:val="0"/>
        <w:snapToGrid/>
        <w:spacing w:line="520" w:lineRule="atLeast"/>
        <w:ind w:left="0" w:firstLine="560" w:firstLineChars="200"/>
        <w:textAlignment w:val="auto"/>
        <w:rPr>
          <w:rFonts w:hint="eastAsia" w:ascii="宋体" w:hAnsi="宋体" w:eastAsia="宋体"/>
          <w:sz w:val="28"/>
          <w:szCs w:val="28"/>
        </w:rPr>
      </w:pPr>
      <w:r>
        <w:rPr>
          <w:rFonts w:hint="eastAsia" w:ascii="宋体" w:hAnsi="宋体" w:eastAsia="宋体"/>
          <w:sz w:val="28"/>
          <w:szCs w:val="28"/>
        </w:rPr>
        <w:t>项目运行期间，我校金融科技学院深入贯彻《教育部等八部门关于加快和扩大新时代教育对外开放意见》精神，严格按照《教育部关于当前中外合作办学若干问题的意见》《教育部关于进一步规范中外合作办学秩序的通知》等文件要求，结合办学实际，持续执行《上海立信会计金融学院与美国新泽西理工学院合作举办金融工程专业本科教育项目管理办法》《金融科技学院金融工程专业（中美合作）本科教育项目实施细则》等制度文件，构建全流程管理体系，保障项目规范运行。</w:t>
      </w:r>
    </w:p>
    <w:p w14:paraId="2779E427">
      <w:pPr>
        <w:keepNext w:val="0"/>
        <w:keepLines w:val="0"/>
        <w:pageBreakBefore w:val="0"/>
        <w:widowControl w:val="0"/>
        <w:kinsoku/>
        <w:wordWrap/>
        <w:overflowPunct/>
        <w:topLinePunct w:val="0"/>
        <w:autoSpaceDE/>
        <w:autoSpaceDN/>
        <w:bidi w:val="0"/>
        <w:snapToGrid/>
        <w:spacing w:line="520" w:lineRule="atLeast"/>
        <w:ind w:left="0" w:firstLine="560" w:firstLineChars="200"/>
        <w:textAlignment w:val="auto"/>
        <w:rPr>
          <w:rFonts w:hint="eastAsia" w:ascii="宋体" w:hAnsi="宋体" w:eastAsia="宋体"/>
          <w:sz w:val="28"/>
          <w:szCs w:val="28"/>
        </w:rPr>
      </w:pPr>
      <w:r>
        <w:rPr>
          <w:rFonts w:hint="eastAsia" w:ascii="宋体" w:hAnsi="宋体" w:eastAsia="宋体"/>
          <w:sz w:val="28"/>
          <w:szCs w:val="28"/>
        </w:rPr>
        <w:t>202</w:t>
      </w:r>
      <w:r>
        <w:rPr>
          <w:rFonts w:hint="eastAsia" w:ascii="宋体" w:hAnsi="宋体" w:eastAsia="宋体"/>
          <w:sz w:val="28"/>
          <w:szCs w:val="28"/>
          <w:lang w:val="en-US" w:eastAsia="zh-CN"/>
        </w:rPr>
        <w:t>5</w:t>
      </w:r>
      <w:r>
        <w:rPr>
          <w:rFonts w:hint="eastAsia" w:ascii="宋体" w:hAnsi="宋体" w:eastAsia="宋体"/>
          <w:sz w:val="28"/>
          <w:szCs w:val="28"/>
        </w:rPr>
        <w:t>年，本项目</w:t>
      </w:r>
      <w:r>
        <w:rPr>
          <w:rFonts w:hint="eastAsia" w:ascii="宋体" w:hAnsi="宋体" w:eastAsia="宋体"/>
          <w:sz w:val="28"/>
          <w:szCs w:val="28"/>
          <w:lang w:val="en-US" w:eastAsia="zh-CN"/>
        </w:rPr>
        <w:t>第二</w:t>
      </w:r>
      <w:r>
        <w:rPr>
          <w:rFonts w:hint="eastAsia" w:ascii="宋体" w:hAnsi="宋体" w:eastAsia="宋体"/>
          <w:sz w:val="28"/>
          <w:szCs w:val="28"/>
        </w:rPr>
        <w:t>届毕业生培养成效显著，</w:t>
      </w:r>
      <w:r>
        <w:rPr>
          <w:rFonts w:hint="eastAsia" w:ascii="宋体" w:hAnsi="宋体" w:eastAsia="宋体"/>
          <w:sz w:val="28"/>
          <w:szCs w:val="28"/>
          <w:lang w:val="en-US" w:eastAsia="zh-CN"/>
        </w:rPr>
        <w:t>92</w:t>
      </w:r>
      <w:r>
        <w:rPr>
          <w:rFonts w:hint="eastAsia" w:ascii="宋体" w:hAnsi="宋体" w:eastAsia="宋体"/>
          <w:sz w:val="28"/>
          <w:szCs w:val="28"/>
        </w:rPr>
        <w:t>名毕业生全员取得我校学士学位</w:t>
      </w:r>
      <w:r>
        <w:rPr>
          <w:rFonts w:hint="eastAsia" w:ascii="宋体" w:hAnsi="宋体" w:eastAsia="宋体" w:cs="宋体"/>
          <w:sz w:val="28"/>
          <w:szCs w:val="28"/>
        </w:rPr>
        <w:t>，其中</w:t>
      </w:r>
      <w:r>
        <w:rPr>
          <w:rFonts w:hint="eastAsia" w:ascii="宋体" w:hAnsi="宋体" w:eastAsia="宋体" w:cs="宋体"/>
          <w:sz w:val="28"/>
          <w:szCs w:val="28"/>
          <w:lang w:val="en-US" w:eastAsia="zh-CN"/>
        </w:rPr>
        <w:t>3</w:t>
      </w:r>
      <w:r>
        <w:rPr>
          <w:rFonts w:hint="eastAsia" w:ascii="宋体" w:hAnsi="宋体" w:eastAsia="宋体"/>
          <w:sz w:val="28"/>
          <w:szCs w:val="28"/>
        </w:rPr>
        <w:t>人</w:t>
      </w:r>
      <w:r>
        <w:rPr>
          <w:rFonts w:hint="eastAsia" w:ascii="宋体" w:hAnsi="宋体" w:eastAsia="宋体" w:cs="宋体"/>
          <w:sz w:val="28"/>
          <w:szCs w:val="28"/>
        </w:rPr>
        <w:t>同步获得新泽西理工学院学士学位。毕业生发展质量居全校前</w:t>
      </w:r>
      <w:r>
        <w:rPr>
          <w:rFonts w:hint="eastAsia" w:ascii="宋体" w:hAnsi="宋体" w:eastAsia="宋体"/>
          <w:sz w:val="28"/>
          <w:szCs w:val="28"/>
        </w:rPr>
        <w:t>列：</w:t>
      </w:r>
      <w:r>
        <w:rPr>
          <w:rFonts w:hint="eastAsia" w:ascii="宋体" w:hAnsi="宋体" w:eastAsia="宋体"/>
          <w:sz w:val="28"/>
          <w:szCs w:val="28"/>
          <w:lang w:val="en-US" w:eastAsia="zh-CN"/>
        </w:rPr>
        <w:t>9</w:t>
      </w:r>
      <w:r>
        <w:rPr>
          <w:rFonts w:hint="eastAsia" w:ascii="宋体" w:hAnsi="宋体" w:eastAsia="宋体"/>
          <w:sz w:val="28"/>
          <w:szCs w:val="28"/>
        </w:rPr>
        <w:t>人考取国内高校硕士研究生；4</w:t>
      </w:r>
      <w:r>
        <w:rPr>
          <w:rFonts w:hint="eastAsia" w:ascii="宋体" w:hAnsi="宋体" w:eastAsia="宋体"/>
          <w:sz w:val="28"/>
          <w:szCs w:val="28"/>
          <w:lang w:val="en-US" w:eastAsia="zh-CN"/>
        </w:rPr>
        <w:t>3</w:t>
      </w:r>
      <w:r>
        <w:rPr>
          <w:rFonts w:hint="eastAsia" w:ascii="宋体" w:hAnsi="宋体" w:eastAsia="宋体"/>
          <w:sz w:val="28"/>
          <w:szCs w:val="28"/>
        </w:rPr>
        <w:t>人获</w:t>
      </w:r>
      <w:r>
        <w:rPr>
          <w:rFonts w:hint="eastAsia" w:ascii="宋体" w:hAnsi="宋体" w:eastAsia="宋体"/>
          <w:sz w:val="28"/>
          <w:szCs w:val="28"/>
          <w:lang w:val="en-US" w:eastAsia="zh-CN"/>
        </w:rPr>
        <w:t>卡内基梅隆</w:t>
      </w:r>
      <w:r>
        <w:rPr>
          <w:rFonts w:hint="eastAsia" w:ascii="宋体" w:hAnsi="宋体" w:eastAsia="宋体"/>
          <w:sz w:val="28"/>
          <w:szCs w:val="28"/>
        </w:rPr>
        <w:t>大学、约翰·霍普金斯大学、</w:t>
      </w:r>
      <w:r>
        <w:rPr>
          <w:rFonts w:hint="eastAsia" w:ascii="宋体" w:hAnsi="宋体" w:eastAsia="宋体"/>
          <w:sz w:val="28"/>
          <w:szCs w:val="28"/>
          <w:lang w:val="en-US" w:eastAsia="zh-CN"/>
        </w:rPr>
        <w:t>杜克</w:t>
      </w:r>
      <w:r>
        <w:rPr>
          <w:rFonts w:hint="eastAsia" w:ascii="宋体" w:hAnsi="宋体" w:eastAsia="宋体"/>
          <w:sz w:val="28"/>
          <w:szCs w:val="28"/>
        </w:rPr>
        <w:t>大学、伯明翰大学等世界大学</w:t>
      </w:r>
      <w:r>
        <w:rPr>
          <w:rFonts w:hint="eastAsia" w:ascii="宋体" w:hAnsi="宋体" w:eastAsia="宋体"/>
          <w:sz w:val="28"/>
          <w:szCs w:val="28"/>
          <w:lang w:val="en-US" w:eastAsia="zh-CN"/>
        </w:rPr>
        <w:t>一流</w:t>
      </w:r>
      <w:r>
        <w:rPr>
          <w:rFonts w:hint="eastAsia" w:ascii="宋体" w:hAnsi="宋体" w:eastAsia="宋体"/>
          <w:sz w:val="28"/>
          <w:szCs w:val="28"/>
        </w:rPr>
        <w:t>高校录取；</w:t>
      </w:r>
      <w:r>
        <w:rPr>
          <w:rFonts w:hint="eastAsia" w:ascii="宋体" w:hAnsi="宋体" w:eastAsia="宋体"/>
          <w:sz w:val="28"/>
          <w:szCs w:val="28"/>
          <w:lang w:val="en-US" w:eastAsia="zh-CN"/>
        </w:rPr>
        <w:t>40</w:t>
      </w:r>
      <w:r>
        <w:rPr>
          <w:rFonts w:hint="eastAsia" w:ascii="宋体" w:hAnsi="宋体" w:eastAsia="宋体"/>
          <w:sz w:val="28"/>
          <w:szCs w:val="28"/>
        </w:rPr>
        <w:t>人实现高质量就业，</w:t>
      </w:r>
      <w:r>
        <w:rPr>
          <w:rFonts w:hint="eastAsia" w:ascii="宋体" w:hAnsi="宋体" w:eastAsia="宋体" w:cs="宋体"/>
          <w:sz w:val="28"/>
          <w:szCs w:val="28"/>
        </w:rPr>
        <w:t>就业</w:t>
      </w:r>
      <w:r>
        <w:rPr>
          <w:rFonts w:hint="eastAsia" w:ascii="宋体" w:hAnsi="宋体" w:eastAsia="宋体"/>
          <w:sz w:val="28"/>
          <w:szCs w:val="28"/>
        </w:rPr>
        <w:t>单位涵盖国有银行、证券公司及金融科技龙头企业，就业率达</w:t>
      </w:r>
      <w:r>
        <w:rPr>
          <w:rFonts w:ascii="宋体" w:hAnsi="宋体" w:eastAsia="宋体"/>
          <w:sz w:val="28"/>
          <w:szCs w:val="28"/>
        </w:rPr>
        <w:t>100%</w:t>
      </w:r>
      <w:r>
        <w:rPr>
          <w:rFonts w:hint="eastAsia" w:ascii="宋体" w:hAnsi="宋体" w:eastAsia="宋体"/>
          <w:sz w:val="28"/>
          <w:szCs w:val="28"/>
        </w:rPr>
        <w:t>。</w:t>
      </w:r>
    </w:p>
    <w:p w14:paraId="7702787B">
      <w:pPr>
        <w:keepNext w:val="0"/>
        <w:keepLines w:val="0"/>
        <w:pageBreakBefore w:val="0"/>
        <w:widowControl w:val="0"/>
        <w:numPr>
          <w:ilvl w:val="0"/>
          <w:numId w:val="0"/>
        </w:numPr>
        <w:kinsoku/>
        <w:wordWrap/>
        <w:overflowPunct/>
        <w:topLinePunct w:val="0"/>
        <w:autoSpaceDE/>
        <w:autoSpaceDN/>
        <w:bidi w:val="0"/>
        <w:snapToGrid/>
        <w:spacing w:line="520" w:lineRule="atLeast"/>
        <w:ind w:left="0" w:firstLine="562" w:firstLineChars="200"/>
        <w:jc w:val="both"/>
        <w:textAlignment w:val="auto"/>
        <w:rPr>
          <w:rFonts w:hint="default"/>
          <w:b/>
          <w:bCs/>
          <w:sz w:val="28"/>
          <w:szCs w:val="28"/>
          <w:lang w:val="en-US" w:eastAsia="zh-CN"/>
        </w:rPr>
      </w:pPr>
    </w:p>
    <w:p w14:paraId="4819F86B">
      <w:pPr>
        <w:keepNext w:val="0"/>
        <w:keepLines w:val="0"/>
        <w:pageBreakBefore w:val="0"/>
        <w:widowControl w:val="0"/>
        <w:numPr>
          <w:ilvl w:val="0"/>
          <w:numId w:val="1"/>
        </w:numPr>
        <w:kinsoku/>
        <w:wordWrap/>
        <w:overflowPunct/>
        <w:topLinePunct w:val="0"/>
        <w:autoSpaceDE/>
        <w:autoSpaceDN/>
        <w:bidi w:val="0"/>
        <w:snapToGrid/>
        <w:spacing w:line="520" w:lineRule="atLeast"/>
        <w:ind w:left="0" w:leftChars="0" w:firstLine="562" w:firstLineChars="200"/>
        <w:jc w:val="both"/>
        <w:textAlignment w:val="auto"/>
        <w:rPr>
          <w:rFonts w:hint="eastAsia" w:ascii="宋体" w:hAnsi="宋体" w:eastAsia="宋体"/>
          <w:sz w:val="28"/>
          <w:szCs w:val="28"/>
          <w:lang w:val="en-US" w:eastAsia="zh-CN"/>
        </w:rPr>
      </w:pPr>
      <w:r>
        <w:rPr>
          <w:rFonts w:hint="eastAsia"/>
          <w:b/>
          <w:bCs/>
          <w:sz w:val="28"/>
          <w:szCs w:val="28"/>
          <w:lang w:val="en-US" w:eastAsia="zh-CN"/>
        </w:rPr>
        <w:t>党建思政工作情况</w:t>
      </w:r>
    </w:p>
    <w:p w14:paraId="22539F62">
      <w:pPr>
        <w:keepNext w:val="0"/>
        <w:keepLines w:val="0"/>
        <w:pageBreakBefore w:val="0"/>
        <w:widowControl w:val="0"/>
        <w:kinsoku/>
        <w:wordWrap/>
        <w:overflowPunct/>
        <w:topLinePunct w:val="0"/>
        <w:autoSpaceDE/>
        <w:autoSpaceDN/>
        <w:bidi w:val="0"/>
        <w:snapToGrid/>
        <w:spacing w:line="520" w:lineRule="atLeast"/>
        <w:ind w:left="0" w:firstLine="560" w:firstLineChars="200"/>
        <w:textAlignment w:val="auto"/>
        <w:rPr>
          <w:rFonts w:hint="eastAsia" w:ascii="宋体" w:hAnsi="宋体" w:eastAsia="宋体"/>
          <w:sz w:val="28"/>
          <w:szCs w:val="28"/>
          <w:lang w:val="en-US" w:eastAsia="zh-CN"/>
        </w:rPr>
      </w:pPr>
      <w:r>
        <w:rPr>
          <w:rFonts w:hint="eastAsia" w:ascii="宋体" w:hAnsi="宋体" w:eastAsia="宋体"/>
          <w:sz w:val="28"/>
          <w:szCs w:val="28"/>
          <w:lang w:val="en-US" w:eastAsia="zh-CN"/>
        </w:rPr>
        <w:t>本项目所在金融科技学院以习近平新时代中国特色社会主义思想和党的二十大和二十届一次、二次、三次会议精神为指导，按照中外合作办学党建工作的总体要求,及时调整优化党组织设置，坚持党的建设同步谋划、党的组织同步设置和党的工作同步开展。学院于2020年10月设立金融工程系师生党支部，以党建质量提升工程为依托，着力围绕立德树人根本任务，发挥党组织政治核心作用。以“推进中外合作办学党建 创新构建全域融合式党建新格局”为党建工作特色，构建全域融合式党建新格局，从物理捆绑递进到化学反应，扎根中国大地开展中外合作办学。</w:t>
      </w:r>
    </w:p>
    <w:p w14:paraId="7F3AB7F5">
      <w:pPr>
        <w:keepNext w:val="0"/>
        <w:keepLines w:val="0"/>
        <w:pageBreakBefore w:val="0"/>
        <w:widowControl w:val="0"/>
        <w:kinsoku/>
        <w:wordWrap/>
        <w:overflowPunct/>
        <w:topLinePunct w:val="0"/>
        <w:autoSpaceDE/>
        <w:autoSpaceDN/>
        <w:bidi w:val="0"/>
        <w:snapToGrid/>
        <w:spacing w:line="520" w:lineRule="atLeast"/>
        <w:ind w:left="0" w:firstLine="560" w:firstLineChars="200"/>
        <w:textAlignment w:val="auto"/>
        <w:rPr>
          <w:rFonts w:hint="eastAsia" w:ascii="宋体" w:hAnsi="宋体" w:eastAsia="宋体"/>
          <w:sz w:val="28"/>
          <w:szCs w:val="28"/>
        </w:rPr>
      </w:pPr>
      <w:r>
        <w:rPr>
          <w:rFonts w:hint="eastAsia" w:ascii="宋体" w:hAnsi="宋体" w:eastAsia="宋体"/>
          <w:sz w:val="28"/>
          <w:szCs w:val="28"/>
        </w:rPr>
        <w:t>中外合作办学党建工作中，学院设立金融工程系师生党支部，落实“双带头人”</w:t>
      </w:r>
      <w:r>
        <w:rPr>
          <w:rFonts w:hint="eastAsia" w:ascii="宋体" w:hAnsi="宋体" w:eastAsia="宋体"/>
          <w:sz w:val="28"/>
          <w:szCs w:val="28"/>
          <w:lang w:eastAsia="zh-CN"/>
        </w:rPr>
        <w:t>教师党</w:t>
      </w:r>
      <w:r>
        <w:rPr>
          <w:rFonts w:hint="eastAsia" w:ascii="宋体" w:hAnsi="宋体" w:eastAsia="宋体"/>
          <w:sz w:val="28"/>
          <w:szCs w:val="28"/>
        </w:rPr>
        <w:t>支部书记配置要求，由系主任担任支部书记，“双带头人”配备率达到 100%。严格执行党总支重大事项前置研究制度，全程参与项目重大决策，在外方教师选聘、境外原版教材选用、学生跨境交流等关键环节严守政治关口。推动党建与业务</w:t>
      </w:r>
      <w:r>
        <w:rPr>
          <w:rFonts w:hint="eastAsia" w:ascii="宋体" w:hAnsi="宋体" w:eastAsia="宋体"/>
          <w:sz w:val="28"/>
          <w:szCs w:val="28"/>
          <w:lang w:eastAsia="zh-CN"/>
        </w:rPr>
        <w:t>深度融合</w:t>
      </w:r>
      <w:r>
        <w:rPr>
          <w:rFonts w:hint="eastAsia" w:ascii="宋体" w:hAnsi="宋体" w:eastAsia="宋体"/>
          <w:sz w:val="28"/>
          <w:szCs w:val="28"/>
        </w:rPr>
        <w:t>，联合银行、券商、金融数据港开展党建联建，深化产教融合育人路径。面对外方院校单方面终止合作、项目暂停招生的实际情况，党组织统筹做好在读学生教育管理，强化出境交换学生的思想引领，保障存量学生培养工作平稳有序，坚决维护教育主权。</w:t>
      </w:r>
    </w:p>
    <w:p w14:paraId="1C8A5E8F">
      <w:pPr>
        <w:keepNext w:val="0"/>
        <w:keepLines w:val="0"/>
        <w:pageBreakBefore w:val="0"/>
        <w:widowControl w:val="0"/>
        <w:kinsoku/>
        <w:wordWrap/>
        <w:overflowPunct/>
        <w:topLinePunct w:val="0"/>
        <w:autoSpaceDE/>
        <w:autoSpaceDN/>
        <w:bidi w:val="0"/>
        <w:snapToGrid/>
        <w:spacing w:line="520" w:lineRule="atLeast"/>
        <w:ind w:left="0" w:firstLine="560" w:firstLineChars="200"/>
        <w:textAlignment w:val="auto"/>
        <w:rPr>
          <w:rFonts w:hint="eastAsia" w:ascii="宋体" w:hAnsi="宋体" w:eastAsia="宋体"/>
          <w:sz w:val="28"/>
          <w:szCs w:val="28"/>
        </w:rPr>
      </w:pPr>
      <w:r>
        <w:rPr>
          <w:rFonts w:hint="eastAsia" w:ascii="宋体" w:hAnsi="宋体" w:eastAsia="宋体"/>
          <w:sz w:val="28"/>
          <w:szCs w:val="28"/>
        </w:rPr>
        <w:t>意识形态方面，压紧压实意识形态工作责任制，将意识形态工作纳入党总支、党支部年度工作计划，落实“一会一报”制度，规范讲座、论坛审批流程，执行新媒体平台“三审三校”机制，严把课堂、教材、学术活动政治关。全年组织理论中心组学习16次，教职工政治理论学习12次，持续夯实师生思想根基。</w:t>
      </w:r>
      <w:r>
        <w:rPr>
          <w:rFonts w:hint="eastAsia" w:ascii="宋体" w:hAnsi="宋体" w:eastAsia="宋体"/>
          <w:sz w:val="28"/>
          <w:szCs w:val="28"/>
          <w:lang w:eastAsia="zh-CN"/>
        </w:rPr>
        <w:t>但是</w:t>
      </w:r>
      <w:r>
        <w:rPr>
          <w:rFonts w:hint="eastAsia" w:ascii="宋体" w:hAnsi="宋体" w:eastAsia="宋体"/>
          <w:sz w:val="28"/>
          <w:szCs w:val="28"/>
        </w:rPr>
        <w:t>存在短板</w:t>
      </w:r>
      <w:r>
        <w:rPr>
          <w:rFonts w:hint="eastAsia" w:ascii="宋体" w:hAnsi="宋体" w:eastAsia="宋体"/>
          <w:sz w:val="28"/>
          <w:szCs w:val="28"/>
          <w:lang w:eastAsia="zh-CN"/>
        </w:rPr>
        <w:t>包括</w:t>
      </w:r>
      <w:r>
        <w:rPr>
          <w:rFonts w:hint="eastAsia" w:ascii="宋体" w:hAnsi="宋体" w:eastAsia="宋体"/>
          <w:sz w:val="28"/>
          <w:szCs w:val="28"/>
        </w:rPr>
        <w:t>阵地精细化管理仍有漏洞，部分教师对课程思政理解不够透彻，涉外交流场景下的风险防范教育有待加强。</w:t>
      </w:r>
    </w:p>
    <w:p w14:paraId="775DE84C">
      <w:pPr>
        <w:keepNext w:val="0"/>
        <w:keepLines w:val="0"/>
        <w:pageBreakBefore w:val="0"/>
        <w:widowControl w:val="0"/>
        <w:kinsoku/>
        <w:wordWrap/>
        <w:overflowPunct/>
        <w:topLinePunct w:val="0"/>
        <w:autoSpaceDE/>
        <w:autoSpaceDN/>
        <w:bidi w:val="0"/>
        <w:snapToGrid/>
        <w:spacing w:line="520" w:lineRule="atLeast"/>
        <w:ind w:left="0" w:firstLine="560" w:firstLineChars="200"/>
        <w:textAlignment w:val="auto"/>
        <w:rPr>
          <w:rFonts w:hint="eastAsia" w:ascii="宋体" w:hAnsi="宋体" w:eastAsia="宋体"/>
          <w:sz w:val="28"/>
          <w:szCs w:val="28"/>
          <w:lang w:val="en-US" w:eastAsia="zh-CN"/>
        </w:rPr>
      </w:pPr>
      <w:r>
        <w:rPr>
          <w:rFonts w:hint="eastAsia" w:ascii="宋体" w:hAnsi="宋体" w:eastAsia="宋体"/>
          <w:sz w:val="28"/>
          <w:szCs w:val="28"/>
        </w:rPr>
        <w:t>学生思政教育坚持五育并举，开好思政必修课程，实现课程思政全覆盖，发挥国家一流课程示范作用。落实</w:t>
      </w:r>
      <w:r>
        <w:rPr>
          <w:rFonts w:hint="eastAsia" w:ascii="宋体" w:hAnsi="宋体" w:eastAsia="宋体"/>
          <w:sz w:val="28"/>
          <w:szCs w:val="28"/>
          <w:lang w:eastAsia="zh-CN"/>
        </w:rPr>
        <w:t>立德树人</w:t>
      </w:r>
      <w:r>
        <w:rPr>
          <w:rFonts w:hint="eastAsia" w:ascii="宋体" w:hAnsi="宋体" w:eastAsia="宋体"/>
          <w:sz w:val="28"/>
          <w:szCs w:val="28"/>
        </w:rPr>
        <w:t>要求，推行本科生全程导师制</w:t>
      </w:r>
      <w:r>
        <w:rPr>
          <w:rFonts w:hint="eastAsia" w:ascii="宋体" w:hAnsi="宋体" w:eastAsia="宋体"/>
          <w:sz w:val="28"/>
          <w:szCs w:val="28"/>
          <w:lang w:val="en-US" w:eastAsia="zh-CN"/>
        </w:rPr>
        <w:t>,覆盖从学业指导到思想引领的全链条培养，精准对接困难学生帮扶需求，切实解决学生实际问题，助力学生全面发展成长。</w:t>
      </w:r>
    </w:p>
    <w:p w14:paraId="2CB2DC4A">
      <w:pPr>
        <w:keepNext w:val="0"/>
        <w:keepLines w:val="0"/>
        <w:pageBreakBefore w:val="0"/>
        <w:widowControl w:val="0"/>
        <w:kinsoku/>
        <w:wordWrap/>
        <w:overflowPunct/>
        <w:topLinePunct w:val="0"/>
        <w:autoSpaceDE/>
        <w:autoSpaceDN/>
        <w:bidi w:val="0"/>
        <w:snapToGrid/>
        <w:spacing w:line="520" w:lineRule="atLeast"/>
        <w:ind w:left="0" w:firstLine="560" w:firstLineChars="200"/>
        <w:textAlignment w:val="auto"/>
        <w:rPr>
          <w:rFonts w:hint="eastAsia" w:ascii="宋体" w:hAnsi="宋体" w:eastAsia="宋体"/>
          <w:sz w:val="28"/>
          <w:szCs w:val="28"/>
        </w:rPr>
      </w:pPr>
      <w:r>
        <w:rPr>
          <w:rFonts w:hint="eastAsia" w:ascii="宋体" w:hAnsi="宋体" w:eastAsia="宋体"/>
          <w:sz w:val="28"/>
          <w:szCs w:val="28"/>
        </w:rPr>
        <w:t>依托</w:t>
      </w:r>
      <w:r>
        <w:rPr>
          <w:rFonts w:hint="eastAsia" w:ascii="宋体" w:hAnsi="宋体" w:eastAsia="宋体"/>
          <w:sz w:val="28"/>
          <w:szCs w:val="28"/>
          <w:lang w:eastAsia="zh-CN"/>
        </w:rPr>
        <w:t>“师言生语”</w:t>
      </w:r>
      <w:r>
        <w:rPr>
          <w:rFonts w:hint="eastAsia" w:ascii="宋体" w:hAnsi="宋体" w:eastAsia="宋体"/>
          <w:sz w:val="28"/>
          <w:szCs w:val="28"/>
        </w:rPr>
        <w:t>等育人载体，开展主题党日、志愿服务与社会实践，做实一站式学生社区思政工作，通过“金科马上办”及时处置学生诉求，抓实入党启蒙教育，充分发挥学生党员先锋模范作用。</w:t>
      </w:r>
    </w:p>
    <w:p w14:paraId="613F4047">
      <w:pPr>
        <w:keepNext w:val="0"/>
        <w:keepLines w:val="0"/>
        <w:pageBreakBefore w:val="0"/>
        <w:widowControl w:val="0"/>
        <w:kinsoku/>
        <w:wordWrap/>
        <w:overflowPunct/>
        <w:topLinePunct w:val="0"/>
        <w:autoSpaceDE/>
        <w:autoSpaceDN/>
        <w:bidi w:val="0"/>
        <w:snapToGrid/>
        <w:spacing w:line="520" w:lineRule="atLeast"/>
        <w:ind w:left="0" w:firstLine="560" w:firstLineChars="200"/>
        <w:textAlignment w:val="auto"/>
        <w:rPr>
          <w:rFonts w:hint="eastAsia" w:ascii="宋体" w:hAnsi="宋体" w:eastAsia="宋体"/>
          <w:sz w:val="28"/>
          <w:szCs w:val="28"/>
        </w:rPr>
      </w:pPr>
      <w:r>
        <w:rPr>
          <w:rFonts w:hint="eastAsia" w:ascii="宋体" w:hAnsi="宋体" w:eastAsia="宋体"/>
          <w:sz w:val="28"/>
          <w:szCs w:val="28"/>
        </w:rPr>
        <w:t>师德师风建设坚持师德第一评价标准，落实师德师风一票否决制，常态化开展师德专题学习和警示教育，把师德表现贯穿人才引进、职称评聘、评优奖励全过程。针对中外合作办学师资开展思想引导，落实青年教师助教培养计划，常态化开展纪律与廉洁文化教育，涵养风清气正的育人氛围。</w:t>
      </w:r>
    </w:p>
    <w:p w14:paraId="5EBEEEBF">
      <w:pPr>
        <w:keepNext w:val="0"/>
        <w:keepLines w:val="0"/>
        <w:pageBreakBefore w:val="0"/>
        <w:widowControl w:val="0"/>
        <w:kinsoku/>
        <w:wordWrap/>
        <w:overflowPunct/>
        <w:topLinePunct w:val="0"/>
        <w:autoSpaceDE/>
        <w:autoSpaceDN/>
        <w:bidi w:val="0"/>
        <w:snapToGrid/>
        <w:spacing w:line="520" w:lineRule="atLeast"/>
        <w:ind w:left="0" w:firstLine="560" w:firstLineChars="200"/>
        <w:textAlignment w:val="auto"/>
        <w:rPr>
          <w:rFonts w:hint="eastAsia" w:ascii="宋体" w:hAnsi="宋体" w:eastAsia="宋体"/>
          <w:sz w:val="28"/>
          <w:szCs w:val="28"/>
        </w:rPr>
      </w:pPr>
      <w:r>
        <w:rPr>
          <w:rFonts w:hint="eastAsia" w:ascii="宋体" w:hAnsi="宋体" w:eastAsia="宋体"/>
          <w:sz w:val="28"/>
          <w:szCs w:val="28"/>
          <w:lang w:eastAsia="zh-CN"/>
        </w:rPr>
        <w:t>在党组织建设方面，</w:t>
      </w:r>
      <w:r>
        <w:rPr>
          <w:rFonts w:hint="eastAsia" w:ascii="宋体" w:hAnsi="宋体" w:eastAsia="宋体"/>
          <w:sz w:val="28"/>
          <w:szCs w:val="28"/>
        </w:rPr>
        <w:t>设立金融工程系师生党支部</w:t>
      </w:r>
      <w:r>
        <w:rPr>
          <w:rFonts w:hint="eastAsia" w:ascii="宋体" w:hAnsi="宋体" w:eastAsia="宋体"/>
          <w:sz w:val="28"/>
          <w:szCs w:val="28"/>
          <w:lang w:eastAsia="zh-CN"/>
        </w:rPr>
        <w:t>，</w:t>
      </w:r>
      <w:r>
        <w:rPr>
          <w:rFonts w:hint="eastAsia" w:ascii="宋体" w:hAnsi="宋体" w:eastAsia="宋体"/>
          <w:sz w:val="28"/>
          <w:szCs w:val="28"/>
        </w:rPr>
        <w:t>发展预备党员5人，预备期满</w:t>
      </w:r>
      <w:r>
        <w:rPr>
          <w:rFonts w:hint="eastAsia" w:ascii="宋体" w:hAnsi="宋体" w:eastAsia="宋体"/>
          <w:sz w:val="28"/>
          <w:szCs w:val="28"/>
          <w:lang w:eastAsia="zh-CN"/>
        </w:rPr>
        <w:t>按期</w:t>
      </w:r>
      <w:r>
        <w:rPr>
          <w:rFonts w:hint="eastAsia" w:ascii="宋体" w:hAnsi="宋体" w:eastAsia="宋体"/>
          <w:sz w:val="28"/>
          <w:szCs w:val="28"/>
        </w:rPr>
        <w:t>转正7人，转正率100%；培养入党积极分子10人。发展党员始终把政治标准摆在首位，实施党员分类教育管理，毕业生党员组织关系转接率100%。</w:t>
      </w:r>
    </w:p>
    <w:p w14:paraId="50E5B96C">
      <w:pPr>
        <w:keepNext w:val="0"/>
        <w:keepLines w:val="0"/>
        <w:pageBreakBefore w:val="0"/>
        <w:widowControl w:val="0"/>
        <w:kinsoku/>
        <w:wordWrap/>
        <w:overflowPunct/>
        <w:topLinePunct w:val="0"/>
        <w:autoSpaceDE/>
        <w:autoSpaceDN/>
        <w:bidi w:val="0"/>
        <w:snapToGrid/>
        <w:spacing w:line="520" w:lineRule="atLeast"/>
        <w:ind w:left="0" w:firstLine="560" w:firstLineChars="200"/>
        <w:textAlignment w:val="auto"/>
        <w:rPr>
          <w:rFonts w:hint="eastAsia" w:ascii="宋体" w:hAnsi="宋体" w:eastAsia="宋体"/>
          <w:sz w:val="28"/>
          <w:szCs w:val="28"/>
        </w:rPr>
      </w:pPr>
    </w:p>
    <w:p w14:paraId="3C55230E">
      <w:pPr>
        <w:keepNext w:val="0"/>
        <w:keepLines w:val="0"/>
        <w:pageBreakBefore w:val="0"/>
        <w:widowControl w:val="0"/>
        <w:numPr>
          <w:ilvl w:val="0"/>
          <w:numId w:val="1"/>
        </w:numPr>
        <w:kinsoku/>
        <w:wordWrap/>
        <w:overflowPunct/>
        <w:topLinePunct w:val="0"/>
        <w:autoSpaceDE/>
        <w:autoSpaceDN/>
        <w:bidi w:val="0"/>
        <w:adjustRightInd w:val="0"/>
        <w:snapToGrid/>
        <w:spacing w:line="520" w:lineRule="atLeast"/>
        <w:ind w:left="0" w:leftChars="0" w:firstLine="562" w:firstLineChars="200"/>
        <w:contextualSpacing/>
        <w:textAlignment w:val="auto"/>
        <w:rPr>
          <w:rFonts w:hint="eastAsia" w:ascii="宋体" w:hAnsi="宋体" w:eastAsia="宋体"/>
          <w:b/>
          <w:bCs/>
          <w:sz w:val="28"/>
          <w:szCs w:val="28"/>
        </w:rPr>
      </w:pPr>
      <w:r>
        <w:rPr>
          <w:rFonts w:hint="eastAsia" w:ascii="宋体" w:hAnsi="宋体" w:eastAsia="宋体"/>
          <w:b/>
          <w:bCs/>
          <w:sz w:val="28"/>
          <w:szCs w:val="28"/>
          <w:lang w:val="en-US" w:eastAsia="zh-CN"/>
        </w:rPr>
        <w:t>教育教学工作情况</w:t>
      </w:r>
    </w:p>
    <w:p w14:paraId="3E5C4C85">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firstLine="562" w:firstLineChars="200"/>
        <w:contextualSpacing/>
        <w:textAlignment w:val="auto"/>
        <w:rPr>
          <w:rFonts w:hint="eastAsia" w:ascii="宋体" w:hAnsi="宋体" w:eastAsia="宋体"/>
          <w:b/>
          <w:bCs/>
          <w:sz w:val="28"/>
          <w:szCs w:val="28"/>
          <w:lang w:val="en-US" w:eastAsia="zh-CN"/>
        </w:rPr>
      </w:pPr>
      <w:r>
        <w:rPr>
          <w:rFonts w:hint="eastAsia" w:ascii="宋体" w:hAnsi="宋体" w:eastAsia="宋体" w:cstheme="minorBidi"/>
          <w:b/>
          <w:bCs/>
          <w:kern w:val="2"/>
          <w:sz w:val="28"/>
          <w:szCs w:val="28"/>
          <w:lang w:val="en-US" w:eastAsia="zh-CN" w:bidi="ar-SA"/>
        </w:rPr>
        <w:t>（一）</w:t>
      </w:r>
      <w:r>
        <w:rPr>
          <w:rFonts w:hint="eastAsia" w:ascii="宋体" w:hAnsi="宋体" w:eastAsia="宋体"/>
          <w:b/>
          <w:bCs/>
          <w:sz w:val="28"/>
          <w:szCs w:val="28"/>
          <w:lang w:val="en-US" w:eastAsia="zh-CN"/>
        </w:rPr>
        <w:t>项目教学组织</w:t>
      </w:r>
    </w:p>
    <w:p w14:paraId="28774D1B">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firstLine="560" w:firstLineChars="200"/>
        <w:contextualSpacing/>
        <w:textAlignment w:val="auto"/>
        <w:rPr>
          <w:rFonts w:hint="eastAsia" w:ascii="宋体" w:hAnsi="宋体" w:eastAsia="宋体"/>
          <w:sz w:val="28"/>
          <w:szCs w:val="28"/>
        </w:rPr>
      </w:pPr>
      <w:r>
        <w:rPr>
          <w:rFonts w:hint="eastAsia" w:ascii="宋体" w:hAnsi="宋体" w:eastAsia="宋体"/>
          <w:sz w:val="28"/>
          <w:szCs w:val="28"/>
        </w:rPr>
        <w:t>项目严格按照上海立信会计金融学院相关管理制度开展教学管理。合作办学专业</w:t>
      </w:r>
      <w:r>
        <w:rPr>
          <w:rFonts w:hint="eastAsia" w:ascii="宋体" w:hAnsi="宋体" w:eastAsia="宋体" w:cs="宋体"/>
          <w:sz w:val="28"/>
          <w:szCs w:val="28"/>
        </w:rPr>
        <w:t>实施双教学班独立编班授课机制。</w:t>
      </w:r>
      <w:r>
        <w:rPr>
          <w:rFonts w:hint="eastAsia" w:ascii="宋体" w:hAnsi="宋体" w:eastAsia="宋体"/>
          <w:sz w:val="28"/>
          <w:szCs w:val="28"/>
        </w:rPr>
        <w:t>中方任课教师由上海立信会计金融学院进行选聘，</w:t>
      </w:r>
      <w:r>
        <w:rPr>
          <w:rFonts w:hint="eastAsia" w:ascii="宋体" w:hAnsi="宋体" w:eastAsia="宋体" w:cs="宋体"/>
          <w:sz w:val="28"/>
          <w:szCs w:val="28"/>
        </w:rPr>
        <w:t>执行全过程教学评估管理</w:t>
      </w:r>
      <w:r>
        <w:rPr>
          <w:rFonts w:hint="eastAsia" w:ascii="宋体" w:hAnsi="宋体" w:eastAsia="宋体"/>
          <w:sz w:val="28"/>
          <w:szCs w:val="28"/>
        </w:rPr>
        <w:t>；外方教师由新泽西理工学院按协议选派。202</w:t>
      </w:r>
      <w:r>
        <w:rPr>
          <w:rFonts w:hint="eastAsia" w:ascii="宋体" w:hAnsi="宋体" w:eastAsia="宋体"/>
          <w:sz w:val="28"/>
          <w:szCs w:val="28"/>
          <w:lang w:val="en-US" w:eastAsia="zh-CN"/>
        </w:rPr>
        <w:t>5</w:t>
      </w:r>
      <w:r>
        <w:rPr>
          <w:rFonts w:hint="eastAsia" w:ascii="宋体" w:hAnsi="宋体" w:eastAsia="宋体"/>
          <w:sz w:val="28"/>
          <w:szCs w:val="28"/>
        </w:rPr>
        <w:t>年累计引进美方课程</w:t>
      </w:r>
      <w:r>
        <w:rPr>
          <w:rFonts w:hint="eastAsia" w:ascii="宋体" w:hAnsi="宋体" w:eastAsia="宋体"/>
          <w:sz w:val="28"/>
          <w:szCs w:val="28"/>
          <w:lang w:val="en-US" w:eastAsia="zh-CN"/>
        </w:rPr>
        <w:t>3</w:t>
      </w:r>
      <w:r>
        <w:rPr>
          <w:rFonts w:hint="eastAsia" w:ascii="宋体" w:hAnsi="宋体" w:eastAsia="宋体"/>
          <w:sz w:val="28"/>
          <w:szCs w:val="28"/>
        </w:rPr>
        <w:t>门，</w:t>
      </w:r>
      <w:r>
        <w:rPr>
          <w:rFonts w:hint="eastAsia" w:ascii="宋体" w:hAnsi="宋体" w:eastAsia="宋体" w:cs="宋体"/>
          <w:sz w:val="28"/>
          <w:szCs w:val="28"/>
        </w:rPr>
        <w:t>特邀</w:t>
      </w:r>
      <w:r>
        <w:rPr>
          <w:rFonts w:hint="eastAsia" w:ascii="宋体" w:hAnsi="宋体" w:eastAsia="宋体"/>
          <w:sz w:val="28"/>
          <w:szCs w:val="28"/>
          <w:lang w:val="en-US" w:eastAsia="zh-CN"/>
        </w:rPr>
        <w:t>3</w:t>
      </w:r>
      <w:r>
        <w:rPr>
          <w:rFonts w:hint="eastAsia" w:ascii="宋体" w:hAnsi="宋体" w:eastAsia="宋体"/>
          <w:sz w:val="28"/>
          <w:szCs w:val="28"/>
        </w:rPr>
        <w:t>名</w:t>
      </w:r>
      <w:r>
        <w:rPr>
          <w:rFonts w:hint="eastAsia" w:ascii="宋体" w:hAnsi="宋体" w:eastAsia="宋体"/>
          <w:sz w:val="28"/>
          <w:szCs w:val="28"/>
          <w:lang w:val="en-US" w:eastAsia="zh-CN"/>
        </w:rPr>
        <w:t>外</w:t>
      </w:r>
      <w:r>
        <w:rPr>
          <w:rFonts w:hint="eastAsia" w:ascii="宋体" w:hAnsi="宋体" w:eastAsia="宋体"/>
          <w:sz w:val="28"/>
          <w:szCs w:val="28"/>
        </w:rPr>
        <w:t>方教授举办学术前沿讲座。</w:t>
      </w:r>
    </w:p>
    <w:p w14:paraId="7388374F">
      <w:pPr>
        <w:keepNext w:val="0"/>
        <w:keepLines w:val="0"/>
        <w:pageBreakBefore w:val="0"/>
        <w:widowControl w:val="0"/>
        <w:kinsoku/>
        <w:wordWrap/>
        <w:overflowPunct/>
        <w:topLinePunct w:val="0"/>
        <w:autoSpaceDE/>
        <w:autoSpaceDN/>
        <w:bidi w:val="0"/>
        <w:adjustRightInd w:val="0"/>
        <w:snapToGrid/>
        <w:spacing w:line="520" w:lineRule="atLeast"/>
        <w:ind w:left="0" w:firstLine="560" w:firstLineChars="200"/>
        <w:contextualSpacing/>
        <w:textAlignment w:val="auto"/>
        <w:rPr>
          <w:rFonts w:hint="eastAsia" w:ascii="宋体" w:hAnsi="宋体" w:eastAsia="宋体"/>
          <w:sz w:val="28"/>
          <w:szCs w:val="28"/>
        </w:rPr>
      </w:pPr>
      <w:r>
        <w:rPr>
          <w:rFonts w:hint="eastAsia" w:ascii="宋体" w:hAnsi="宋体" w:eastAsia="宋体"/>
          <w:sz w:val="28"/>
          <w:szCs w:val="28"/>
        </w:rPr>
        <w:t>美方课程全流程采用美方教学标准</w:t>
      </w:r>
      <w:r>
        <w:rPr>
          <w:rFonts w:hint="eastAsia" w:ascii="宋体" w:hAnsi="宋体" w:eastAsia="宋体" w:cs="宋体"/>
          <w:sz w:val="28"/>
          <w:szCs w:val="28"/>
        </w:rPr>
        <w:t>，实施全英文授课、全英文命题考核及实验设计</w:t>
      </w:r>
      <w:r>
        <w:rPr>
          <w:rFonts w:hint="eastAsia" w:ascii="宋体" w:hAnsi="宋体" w:eastAsia="宋体"/>
          <w:sz w:val="28"/>
          <w:szCs w:val="28"/>
        </w:rPr>
        <w:t>。采用“外方线上主讲</w:t>
      </w:r>
      <w:r>
        <w:rPr>
          <w:rFonts w:ascii="宋体" w:hAnsi="宋体" w:eastAsia="宋体"/>
          <w:sz w:val="28"/>
          <w:szCs w:val="28"/>
        </w:rPr>
        <w:t>+</w:t>
      </w:r>
      <w:r>
        <w:rPr>
          <w:rFonts w:hint="eastAsia" w:ascii="宋体" w:hAnsi="宋体" w:eastAsia="宋体"/>
          <w:sz w:val="28"/>
          <w:szCs w:val="28"/>
        </w:rPr>
        <w:t>中方线下跟课”双师协同教学模式</w:t>
      </w:r>
      <w:r>
        <w:rPr>
          <w:rFonts w:hint="eastAsia" w:ascii="宋体" w:hAnsi="宋体" w:eastAsia="宋体" w:cs="仿宋"/>
          <w:sz w:val="28"/>
          <w:szCs w:val="28"/>
        </w:rPr>
        <w:t>，依托超星“</w:t>
      </w:r>
      <w:r>
        <w:rPr>
          <w:rFonts w:hint="eastAsia" w:ascii="宋体" w:hAnsi="宋体" w:eastAsia="宋体"/>
          <w:sz w:val="28"/>
          <w:szCs w:val="28"/>
        </w:rPr>
        <w:t>学习通”平台建成在线课程资源库，</w:t>
      </w:r>
      <w:r>
        <w:rPr>
          <w:rFonts w:hint="eastAsia" w:ascii="宋体" w:hAnsi="宋体" w:eastAsia="宋体" w:cs="仿宋"/>
          <w:sz w:val="28"/>
          <w:szCs w:val="28"/>
        </w:rPr>
        <w:t>保障教学质量。跟课教师承担全流程教学支持工作，具体负责课堂组织、试卷评阅、作业反馈及实验指导。同时，为优化</w:t>
      </w:r>
      <w:r>
        <w:rPr>
          <w:rFonts w:hint="eastAsia" w:ascii="宋体" w:hAnsi="宋体" w:eastAsia="宋体"/>
          <w:sz w:val="28"/>
          <w:szCs w:val="28"/>
        </w:rPr>
        <w:t>学习成效</w:t>
      </w:r>
      <w:r>
        <w:rPr>
          <w:rFonts w:hint="eastAsia" w:ascii="宋体" w:hAnsi="宋体" w:eastAsia="宋体" w:cs="仿宋"/>
          <w:sz w:val="28"/>
          <w:szCs w:val="28"/>
        </w:rPr>
        <w:t>，跟课教师还需构建预学习资源库，提前两周向学生推送课程文献包</w:t>
      </w:r>
      <w:r>
        <w:rPr>
          <w:rFonts w:hint="eastAsia" w:ascii="宋体" w:hAnsi="宋体" w:eastAsia="宋体"/>
          <w:sz w:val="28"/>
          <w:szCs w:val="28"/>
        </w:rPr>
        <w:t>。</w:t>
      </w:r>
    </w:p>
    <w:p w14:paraId="6C02452B">
      <w:pPr>
        <w:keepNext w:val="0"/>
        <w:keepLines w:val="0"/>
        <w:pageBreakBefore w:val="0"/>
        <w:widowControl w:val="0"/>
        <w:numPr>
          <w:ilvl w:val="0"/>
          <w:numId w:val="2"/>
        </w:numPr>
        <w:kinsoku/>
        <w:wordWrap/>
        <w:overflowPunct/>
        <w:topLinePunct w:val="0"/>
        <w:autoSpaceDE/>
        <w:autoSpaceDN/>
        <w:bidi w:val="0"/>
        <w:adjustRightInd w:val="0"/>
        <w:snapToGrid/>
        <w:spacing w:line="520" w:lineRule="atLeast"/>
        <w:ind w:left="0" w:leftChars="0" w:firstLine="562" w:firstLineChars="200"/>
        <w:contextualSpacing/>
        <w:textAlignment w:val="auto"/>
        <w:rPr>
          <w:rFonts w:hint="eastAsia" w:ascii="宋体" w:hAnsi="宋体" w:eastAsia="宋体"/>
          <w:b/>
          <w:bCs/>
          <w:sz w:val="28"/>
          <w:szCs w:val="28"/>
          <w:lang w:val="en-US" w:eastAsia="zh-CN"/>
        </w:rPr>
      </w:pPr>
      <w:r>
        <w:rPr>
          <w:rFonts w:hint="eastAsia" w:ascii="宋体" w:hAnsi="宋体" w:eastAsia="宋体"/>
          <w:b/>
          <w:bCs/>
          <w:sz w:val="28"/>
          <w:szCs w:val="28"/>
          <w:lang w:val="en-US" w:eastAsia="zh-CN"/>
        </w:rPr>
        <w:t>项目师资建设</w:t>
      </w:r>
    </w:p>
    <w:p w14:paraId="1B3F4AA6">
      <w:pPr>
        <w:keepNext w:val="0"/>
        <w:keepLines w:val="0"/>
        <w:pageBreakBefore w:val="0"/>
        <w:widowControl w:val="0"/>
        <w:kinsoku/>
        <w:wordWrap/>
        <w:overflowPunct/>
        <w:topLinePunct w:val="0"/>
        <w:autoSpaceDE/>
        <w:autoSpaceDN/>
        <w:bidi w:val="0"/>
        <w:adjustRightInd w:val="0"/>
        <w:snapToGrid/>
        <w:spacing w:line="520" w:lineRule="atLeast"/>
        <w:ind w:left="0" w:firstLine="560" w:firstLineChars="200"/>
        <w:contextualSpacing/>
        <w:textAlignment w:val="auto"/>
        <w:rPr>
          <w:rFonts w:hint="eastAsia" w:ascii="宋体" w:hAnsi="宋体" w:eastAsia="宋体"/>
          <w:sz w:val="28"/>
          <w:szCs w:val="28"/>
        </w:rPr>
      </w:pPr>
      <w:r>
        <w:rPr>
          <w:rFonts w:hint="eastAsia" w:ascii="宋体" w:hAnsi="宋体" w:eastAsia="宋体"/>
          <w:sz w:val="28"/>
          <w:szCs w:val="28"/>
        </w:rPr>
        <w:t>一是强化智库平台赋能，深化产教研融合创新。立足上海金融科技研究中心（上海高校智库）平台，2025年中心成功入选"中国智库综合评价研究项目（2025）AMI智库"名录，全国金融领域仅15家、上海仅2家入库；筹建成立长三角金融科技研究院，并参与中国人民银行组织的《中国数字金融发展报告（2025）》编写工作。组织两个科研平台开展12项专项课题研究和成果转化，4篇决策咨询专报获批示采纳。</w:t>
      </w:r>
    </w:p>
    <w:p w14:paraId="21DBBDC6">
      <w:pPr>
        <w:keepNext w:val="0"/>
        <w:keepLines w:val="0"/>
        <w:pageBreakBefore w:val="0"/>
        <w:widowControl w:val="0"/>
        <w:kinsoku/>
        <w:wordWrap/>
        <w:overflowPunct/>
        <w:topLinePunct w:val="0"/>
        <w:autoSpaceDE/>
        <w:autoSpaceDN/>
        <w:bidi w:val="0"/>
        <w:adjustRightInd w:val="0"/>
        <w:snapToGrid/>
        <w:spacing w:line="520" w:lineRule="atLeast"/>
        <w:ind w:left="0" w:firstLine="560" w:firstLineChars="200"/>
        <w:contextualSpacing/>
        <w:textAlignment w:val="auto"/>
        <w:rPr>
          <w:rFonts w:hint="eastAsia" w:ascii="宋体" w:hAnsi="宋体" w:eastAsia="宋体"/>
          <w:sz w:val="28"/>
          <w:szCs w:val="28"/>
        </w:rPr>
      </w:pPr>
      <w:r>
        <w:rPr>
          <w:rFonts w:hint="eastAsia" w:ascii="宋体" w:hAnsi="宋体" w:eastAsia="宋体"/>
          <w:sz w:val="28"/>
          <w:szCs w:val="28"/>
        </w:rPr>
        <w:t>二是构建学术交流矩阵，提升师资核心竞争力。持续举办"金科沙龙"系列主题讲座，邀请校内外专家学者做专题报告；承办"未来金融·科技引擎"第七届立信金融科技论坛，邀请多位专家做学术报告和专题辅导。</w:t>
      </w:r>
    </w:p>
    <w:p w14:paraId="682E6F47">
      <w:pPr>
        <w:keepNext w:val="0"/>
        <w:keepLines w:val="0"/>
        <w:pageBreakBefore w:val="0"/>
        <w:widowControl w:val="0"/>
        <w:kinsoku/>
        <w:wordWrap/>
        <w:overflowPunct/>
        <w:topLinePunct w:val="0"/>
        <w:autoSpaceDE/>
        <w:autoSpaceDN/>
        <w:bidi w:val="0"/>
        <w:adjustRightInd w:val="0"/>
        <w:snapToGrid/>
        <w:spacing w:line="520" w:lineRule="atLeast"/>
        <w:ind w:left="0" w:firstLine="560" w:firstLineChars="200"/>
        <w:contextualSpacing/>
        <w:textAlignment w:val="auto"/>
        <w:rPr>
          <w:rFonts w:hint="eastAsia" w:ascii="宋体" w:hAnsi="宋体" w:eastAsia="宋体"/>
          <w:sz w:val="28"/>
          <w:szCs w:val="28"/>
        </w:rPr>
      </w:pPr>
      <w:r>
        <w:rPr>
          <w:rFonts w:hint="eastAsia" w:ascii="宋体" w:hAnsi="宋体" w:eastAsia="宋体"/>
          <w:sz w:val="28"/>
          <w:szCs w:val="28"/>
        </w:rPr>
        <w:t>三是实施引育并重策略，优化师资梯队结构。2025年度，招聘录用骨干教师2人，引进教授1人、辅导员1人，2人晋升副教授；学院高级职称比例达46%，"双师型"教师比例达70%（其中本项目现有全职任课教师23人、外聘任课教师2人）。教职工外出交流培训15人次；与复旦大学合作培养博士后1人，推荐博士后进修1人；推荐产学研践习6人、国内访学1人；1位教师入选上海市"晨光学者"。</w:t>
      </w:r>
    </w:p>
    <w:p w14:paraId="0874FB7A">
      <w:pPr>
        <w:keepNext w:val="0"/>
        <w:keepLines w:val="0"/>
        <w:pageBreakBefore w:val="0"/>
        <w:widowControl w:val="0"/>
        <w:kinsoku/>
        <w:wordWrap/>
        <w:overflowPunct/>
        <w:topLinePunct w:val="0"/>
        <w:autoSpaceDE/>
        <w:autoSpaceDN/>
        <w:bidi w:val="0"/>
        <w:adjustRightInd w:val="0"/>
        <w:snapToGrid/>
        <w:spacing w:line="520" w:lineRule="atLeast"/>
        <w:ind w:left="0" w:firstLine="560" w:firstLineChars="200"/>
        <w:contextualSpacing/>
        <w:textAlignment w:val="auto"/>
        <w:rPr>
          <w:rFonts w:hint="eastAsia" w:ascii="宋体" w:hAnsi="宋体" w:eastAsia="宋体"/>
          <w:sz w:val="28"/>
          <w:szCs w:val="28"/>
        </w:rPr>
      </w:pPr>
      <w:r>
        <w:rPr>
          <w:rFonts w:hint="eastAsia" w:ascii="宋体" w:hAnsi="宋体" w:eastAsia="宋体"/>
          <w:sz w:val="28"/>
          <w:szCs w:val="28"/>
        </w:rPr>
        <w:t>四是持续实施青年教师助教培养计划。安排新入职教师全程参与美方课程助教工作，通过联合备课、课件双审制等机制，建立中外教师联合教研机制，促进青年教师快速成长。</w:t>
      </w:r>
    </w:p>
    <w:p w14:paraId="0780C872">
      <w:pPr>
        <w:keepNext w:val="0"/>
        <w:keepLines w:val="0"/>
        <w:pageBreakBefore w:val="0"/>
        <w:widowControl w:val="0"/>
        <w:kinsoku/>
        <w:wordWrap/>
        <w:overflowPunct/>
        <w:topLinePunct w:val="0"/>
        <w:autoSpaceDE/>
        <w:autoSpaceDN/>
        <w:bidi w:val="0"/>
        <w:adjustRightInd w:val="0"/>
        <w:snapToGrid/>
        <w:spacing w:line="520" w:lineRule="atLeast"/>
        <w:ind w:left="0" w:firstLine="560" w:firstLineChars="200"/>
        <w:contextualSpacing/>
        <w:textAlignment w:val="auto"/>
        <w:rPr>
          <w:rFonts w:hint="eastAsia" w:ascii="宋体" w:hAnsi="宋体" w:eastAsia="宋体"/>
          <w:sz w:val="28"/>
          <w:szCs w:val="28"/>
        </w:rPr>
      </w:pPr>
      <w:r>
        <w:rPr>
          <w:rFonts w:hint="eastAsia" w:ascii="宋体" w:hAnsi="宋体" w:eastAsia="宋体"/>
          <w:sz w:val="28"/>
          <w:szCs w:val="28"/>
        </w:rPr>
        <w:t>本年度教师科研成果丰硕：立项国家级课题1项、省部级课题4项，发表B级以上高水平论文30余篇，4篇专报获批示，获发明专利1项；开展横向课题合作4项，出版专著2本、编著2本。</w:t>
      </w:r>
    </w:p>
    <w:p w14:paraId="7CC3C309">
      <w:pPr>
        <w:keepNext w:val="0"/>
        <w:keepLines w:val="0"/>
        <w:pageBreakBefore w:val="0"/>
        <w:widowControl w:val="0"/>
        <w:numPr>
          <w:ilvl w:val="0"/>
          <w:numId w:val="2"/>
        </w:numPr>
        <w:kinsoku/>
        <w:wordWrap/>
        <w:overflowPunct/>
        <w:topLinePunct w:val="0"/>
        <w:autoSpaceDE/>
        <w:autoSpaceDN/>
        <w:bidi w:val="0"/>
        <w:adjustRightInd w:val="0"/>
        <w:snapToGrid/>
        <w:spacing w:line="520" w:lineRule="atLeast"/>
        <w:ind w:left="0" w:leftChars="0" w:firstLine="562" w:firstLineChars="200"/>
        <w:contextualSpacing/>
        <w:textAlignment w:val="auto"/>
        <w:rPr>
          <w:rFonts w:hint="eastAsia" w:ascii="宋体" w:hAnsi="宋体" w:eastAsia="宋体"/>
          <w:b/>
          <w:bCs/>
          <w:sz w:val="28"/>
          <w:szCs w:val="28"/>
          <w:lang w:val="en-US" w:eastAsia="zh-CN"/>
        </w:rPr>
      </w:pPr>
      <w:r>
        <w:rPr>
          <w:rFonts w:hint="eastAsia" w:ascii="宋体" w:hAnsi="宋体" w:eastAsia="宋体"/>
          <w:b/>
          <w:bCs/>
          <w:sz w:val="28"/>
          <w:szCs w:val="28"/>
          <w:lang w:val="en-US" w:eastAsia="zh-CN"/>
        </w:rPr>
        <w:t>项目教学质量监控</w:t>
      </w:r>
    </w:p>
    <w:p w14:paraId="64FC3FFC">
      <w:pPr>
        <w:keepNext w:val="0"/>
        <w:keepLines w:val="0"/>
        <w:pageBreakBefore w:val="0"/>
        <w:widowControl w:val="0"/>
        <w:kinsoku/>
        <w:wordWrap/>
        <w:overflowPunct/>
        <w:topLinePunct w:val="0"/>
        <w:autoSpaceDE/>
        <w:autoSpaceDN/>
        <w:bidi w:val="0"/>
        <w:adjustRightInd w:val="0"/>
        <w:snapToGrid/>
        <w:spacing w:line="520" w:lineRule="atLeast"/>
        <w:ind w:left="0" w:firstLine="560" w:firstLineChars="200"/>
        <w:contextualSpacing/>
        <w:textAlignment w:val="auto"/>
        <w:rPr>
          <w:rFonts w:hint="eastAsia" w:ascii="宋体" w:hAnsi="宋体" w:eastAsia="宋体"/>
          <w:sz w:val="28"/>
          <w:szCs w:val="28"/>
        </w:rPr>
      </w:pPr>
      <w:r>
        <w:rPr>
          <w:rFonts w:hint="eastAsia" w:ascii="宋体" w:hAnsi="宋体" w:eastAsia="宋体"/>
          <w:sz w:val="28"/>
          <w:szCs w:val="28"/>
        </w:rPr>
        <w:t>本项目实施双轨制质量保障体系：一是制度化实施“教学质量月”等专项行动</w:t>
      </w:r>
      <w:r>
        <w:rPr>
          <w:rFonts w:hint="eastAsia" w:ascii="宋体" w:hAnsi="宋体" w:eastAsia="宋体" w:cs="宋体"/>
          <w:sz w:val="28"/>
          <w:szCs w:val="28"/>
        </w:rPr>
        <w:t>，通</w:t>
      </w:r>
      <w:r>
        <w:rPr>
          <w:rFonts w:hint="eastAsia" w:ascii="宋体" w:hAnsi="宋体" w:eastAsia="宋体"/>
          <w:sz w:val="28"/>
          <w:szCs w:val="28"/>
        </w:rPr>
        <w:t>过师生联席座谈会、督导组进驻课堂等形式</w:t>
      </w:r>
      <w:r>
        <w:rPr>
          <w:rFonts w:hint="eastAsia" w:ascii="宋体" w:hAnsi="宋体" w:eastAsia="宋体" w:cs="宋体"/>
          <w:sz w:val="28"/>
          <w:szCs w:val="28"/>
        </w:rPr>
        <w:t>，形成闭环</w:t>
      </w:r>
      <w:r>
        <w:rPr>
          <w:rFonts w:hint="eastAsia" w:ascii="宋体" w:hAnsi="宋体" w:eastAsia="宋体"/>
          <w:sz w:val="28"/>
          <w:szCs w:val="28"/>
        </w:rPr>
        <w:t>质量改进机制。二是在中美本科教育项目管理委员会指导下，双方将按照商定的教学计划、实习计划和教学方法开展教学活动；创新设置跟课制度，选派中方青年教师担任美方课程助教,</w:t>
      </w:r>
      <w:r>
        <w:rPr>
          <w:rFonts w:hint="eastAsia" w:ascii="宋体" w:hAnsi="宋体" w:eastAsia="宋体" w:cs="宋体"/>
          <w:sz w:val="28"/>
          <w:szCs w:val="28"/>
        </w:rPr>
        <w:t>全</w:t>
      </w:r>
      <w:r>
        <w:rPr>
          <w:rFonts w:hint="eastAsia" w:ascii="宋体" w:hAnsi="宋体" w:eastAsia="宋体"/>
          <w:sz w:val="28"/>
          <w:szCs w:val="28"/>
        </w:rPr>
        <w:t>流程参与课程实施</w:t>
      </w:r>
      <w:r>
        <w:rPr>
          <w:rFonts w:hint="eastAsia" w:ascii="宋体" w:hAnsi="宋体" w:eastAsia="宋体" w:cs="宋体"/>
          <w:sz w:val="28"/>
          <w:szCs w:val="28"/>
        </w:rPr>
        <w:t>，建立动态质量反馈通道，驱动管理效能迭</w:t>
      </w:r>
      <w:r>
        <w:rPr>
          <w:rFonts w:hint="eastAsia" w:ascii="宋体" w:hAnsi="宋体" w:eastAsia="宋体"/>
          <w:sz w:val="28"/>
          <w:szCs w:val="28"/>
        </w:rPr>
        <w:t>代。</w:t>
      </w:r>
    </w:p>
    <w:p w14:paraId="5390E8BA">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leftChars="0" w:firstLine="562" w:firstLineChars="200"/>
        <w:contextualSpacing/>
        <w:textAlignment w:val="auto"/>
        <w:rPr>
          <w:rFonts w:hint="eastAsia" w:ascii="宋体" w:hAnsi="宋体" w:eastAsia="宋体"/>
          <w:b/>
          <w:bCs/>
          <w:sz w:val="28"/>
          <w:szCs w:val="28"/>
        </w:rPr>
      </w:pPr>
    </w:p>
    <w:p w14:paraId="620AB530">
      <w:pPr>
        <w:keepNext w:val="0"/>
        <w:keepLines w:val="0"/>
        <w:pageBreakBefore w:val="0"/>
        <w:widowControl w:val="0"/>
        <w:numPr>
          <w:ilvl w:val="0"/>
          <w:numId w:val="1"/>
        </w:numPr>
        <w:kinsoku/>
        <w:wordWrap/>
        <w:overflowPunct/>
        <w:topLinePunct w:val="0"/>
        <w:autoSpaceDE/>
        <w:autoSpaceDN/>
        <w:bidi w:val="0"/>
        <w:adjustRightInd w:val="0"/>
        <w:snapToGrid/>
        <w:spacing w:line="520" w:lineRule="atLeast"/>
        <w:ind w:left="0" w:leftChars="0" w:firstLine="562" w:firstLineChars="200"/>
        <w:contextualSpacing/>
        <w:textAlignment w:val="auto"/>
        <w:rPr>
          <w:rFonts w:hint="eastAsia" w:ascii="宋体" w:hAnsi="宋体" w:eastAsia="宋体"/>
          <w:b/>
          <w:bCs/>
          <w:sz w:val="28"/>
          <w:szCs w:val="28"/>
        </w:rPr>
      </w:pPr>
      <w:r>
        <w:rPr>
          <w:rFonts w:hint="eastAsia" w:ascii="宋体" w:hAnsi="宋体" w:eastAsia="宋体"/>
          <w:b/>
          <w:bCs/>
          <w:sz w:val="28"/>
          <w:szCs w:val="28"/>
          <w:lang w:val="en-US" w:eastAsia="zh-CN"/>
        </w:rPr>
        <w:t>人才培养成效情况</w:t>
      </w:r>
    </w:p>
    <w:p w14:paraId="0B8AC88F">
      <w:pPr>
        <w:keepNext w:val="0"/>
        <w:keepLines w:val="0"/>
        <w:pageBreakBefore w:val="0"/>
        <w:widowControl w:val="0"/>
        <w:kinsoku/>
        <w:wordWrap/>
        <w:overflowPunct/>
        <w:topLinePunct w:val="0"/>
        <w:autoSpaceDE/>
        <w:autoSpaceDN/>
        <w:bidi w:val="0"/>
        <w:snapToGrid/>
        <w:spacing w:line="520" w:lineRule="atLeast"/>
        <w:ind w:left="0" w:firstLine="562" w:firstLineChars="200"/>
        <w:textAlignment w:val="auto"/>
        <w:rPr>
          <w:rFonts w:hint="eastAsia" w:ascii="宋体" w:hAnsi="宋体" w:eastAsia="宋体"/>
          <w:sz w:val="28"/>
          <w:szCs w:val="28"/>
        </w:rPr>
      </w:pPr>
      <w:r>
        <w:rPr>
          <w:rFonts w:hint="eastAsia" w:ascii="宋体" w:hAnsi="宋体" w:eastAsia="宋体"/>
          <w:b/>
          <w:sz w:val="28"/>
          <w:szCs w:val="28"/>
        </w:rPr>
        <w:t>（</w:t>
      </w:r>
      <w:r>
        <w:rPr>
          <w:rFonts w:hint="eastAsia" w:ascii="宋体" w:hAnsi="宋体" w:eastAsia="宋体"/>
          <w:b/>
          <w:sz w:val="28"/>
          <w:szCs w:val="28"/>
          <w:lang w:val="en-US" w:eastAsia="zh-CN"/>
        </w:rPr>
        <w:t>一</w:t>
      </w:r>
      <w:r>
        <w:rPr>
          <w:rFonts w:hint="eastAsia" w:ascii="宋体" w:hAnsi="宋体" w:eastAsia="宋体"/>
          <w:b/>
          <w:sz w:val="28"/>
          <w:szCs w:val="28"/>
        </w:rPr>
        <w:t>）深化导师制建设，构建“全员、全程、全方位”育人格局。</w:t>
      </w:r>
      <w:r>
        <w:rPr>
          <w:rFonts w:hint="eastAsia" w:ascii="宋体" w:hAnsi="宋体" w:eastAsia="宋体"/>
          <w:sz w:val="28"/>
          <w:szCs w:val="28"/>
        </w:rPr>
        <w:t>锚定“三全育人”目标</w:t>
      </w:r>
      <w:r>
        <w:rPr>
          <w:rFonts w:hint="eastAsia" w:ascii="宋体" w:hAnsi="宋体" w:eastAsia="宋体" w:cs="宋体"/>
          <w:sz w:val="28"/>
          <w:szCs w:val="28"/>
        </w:rPr>
        <w:t>，严格贯彻</w:t>
      </w:r>
      <w:r>
        <w:rPr>
          <w:rFonts w:hint="eastAsia" w:ascii="宋体" w:hAnsi="宋体" w:eastAsia="宋体"/>
          <w:sz w:val="28"/>
          <w:szCs w:val="28"/>
        </w:rPr>
        <w:t>《上海立信会计金融学院本科生全程导师制实施方案》和《上海立信会计金融学院骨干教师教学激励计划实施方案》工作要求，为金融工程（中美合作）专业全体学生配备学业导师</w:t>
      </w:r>
      <w:r>
        <w:rPr>
          <w:rFonts w:hint="eastAsia" w:ascii="宋体" w:hAnsi="宋体" w:eastAsia="宋体" w:cs="宋体"/>
          <w:sz w:val="28"/>
          <w:szCs w:val="28"/>
        </w:rPr>
        <w:t>，立足学生知识、能力、素质协调发展，助力学生适应大学生活、规划职业发展，促进学生个性成长，着力培养具有创新精神与实践能力的高素</w:t>
      </w:r>
      <w:r>
        <w:rPr>
          <w:rFonts w:hint="eastAsia" w:ascii="宋体" w:hAnsi="宋体" w:eastAsia="宋体"/>
          <w:sz w:val="28"/>
          <w:szCs w:val="28"/>
        </w:rPr>
        <w:t>质金融人才。创新“线上线下融合”导学模式</w:t>
      </w:r>
      <w:r>
        <w:rPr>
          <w:rFonts w:hint="eastAsia" w:ascii="宋体" w:hAnsi="宋体" w:eastAsia="宋体" w:cs="宋体"/>
          <w:sz w:val="28"/>
          <w:szCs w:val="28"/>
        </w:rPr>
        <w:t>，通过“坐班答疑、自习辅导、座谈研讨、社团沙龙、个别谈话、线上互动”六位一体导学机制，实现学业导师与学生常态化互动。在思想引领、学业指导、职业发展等领域开展全过程陪伴式教育，构建师生资源共享、优势互补的协同育人生态，形成覆盖本科全周期的导师培养体系。</w:t>
      </w:r>
    </w:p>
    <w:p w14:paraId="2730C377">
      <w:pPr>
        <w:keepNext w:val="0"/>
        <w:keepLines w:val="0"/>
        <w:pageBreakBefore w:val="0"/>
        <w:widowControl w:val="0"/>
        <w:kinsoku/>
        <w:wordWrap/>
        <w:overflowPunct/>
        <w:topLinePunct w:val="0"/>
        <w:autoSpaceDE/>
        <w:autoSpaceDN/>
        <w:bidi w:val="0"/>
        <w:snapToGrid/>
        <w:spacing w:line="520" w:lineRule="atLeast"/>
        <w:ind w:left="0" w:firstLine="560" w:firstLineChars="200"/>
        <w:textAlignment w:val="auto"/>
        <w:rPr>
          <w:rFonts w:hint="eastAsia" w:ascii="宋体" w:hAnsi="宋体" w:eastAsia="宋体"/>
          <w:sz w:val="28"/>
          <w:szCs w:val="28"/>
        </w:rPr>
      </w:pPr>
      <w:r>
        <w:rPr>
          <w:rFonts w:hint="eastAsia" w:ascii="宋体" w:hAnsi="宋体" w:eastAsia="宋体"/>
          <w:sz w:val="28"/>
          <w:szCs w:val="28"/>
        </w:rPr>
        <w:t>为全面提升教育教学质量，202</w:t>
      </w:r>
      <w:r>
        <w:rPr>
          <w:rFonts w:hint="eastAsia" w:ascii="宋体" w:hAnsi="宋体" w:eastAsia="宋体"/>
          <w:sz w:val="28"/>
          <w:szCs w:val="28"/>
          <w:lang w:val="en-US" w:eastAsia="zh-CN"/>
        </w:rPr>
        <w:t>5</w:t>
      </w:r>
      <w:r>
        <w:rPr>
          <w:rFonts w:hint="eastAsia" w:ascii="宋体" w:hAnsi="宋体" w:eastAsia="宋体"/>
          <w:sz w:val="28"/>
          <w:szCs w:val="28"/>
        </w:rPr>
        <w:t>年度，学院系统开展</w:t>
      </w:r>
      <w:r>
        <w:rPr>
          <w:rFonts w:ascii="宋体" w:hAnsi="宋体" w:eastAsia="宋体"/>
          <w:sz w:val="28"/>
          <w:szCs w:val="28"/>
        </w:rPr>
        <w:t>“教学质量月”“师言生语”等</w:t>
      </w:r>
      <w:r>
        <w:rPr>
          <w:rFonts w:hint="eastAsia" w:ascii="宋体" w:hAnsi="宋体" w:eastAsia="宋体"/>
          <w:sz w:val="28"/>
          <w:szCs w:val="28"/>
        </w:rPr>
        <w:t>专项</w:t>
      </w:r>
      <w:r>
        <w:rPr>
          <w:rFonts w:ascii="宋体" w:hAnsi="宋体" w:eastAsia="宋体"/>
          <w:sz w:val="28"/>
          <w:szCs w:val="28"/>
        </w:rPr>
        <w:t>活动，</w:t>
      </w:r>
      <w:r>
        <w:rPr>
          <w:rFonts w:hint="eastAsia" w:ascii="宋体" w:hAnsi="宋体" w:eastAsia="宋体"/>
          <w:sz w:val="28"/>
          <w:szCs w:val="28"/>
        </w:rPr>
        <w:t>通过师生专题研讨、专家课堂观摩等方式</w:t>
      </w:r>
      <w:r>
        <w:rPr>
          <w:rFonts w:hint="eastAsia" w:ascii="宋体" w:hAnsi="宋体" w:eastAsia="宋体" w:cs="宋体"/>
          <w:sz w:val="28"/>
          <w:szCs w:val="28"/>
        </w:rPr>
        <w:t>，建立常态化教学督导机制，精准识别并改进教学薄弱环节。</w:t>
      </w:r>
      <w:r>
        <w:rPr>
          <w:rFonts w:hint="eastAsia" w:ascii="宋体" w:hAnsi="宋体" w:eastAsia="宋体"/>
          <w:sz w:val="28"/>
          <w:szCs w:val="28"/>
        </w:rPr>
        <w:t>强化结果导向</w:t>
      </w:r>
      <w:r>
        <w:rPr>
          <w:rFonts w:hint="eastAsia" w:ascii="宋体" w:hAnsi="宋体" w:eastAsia="宋体" w:cs="宋体"/>
          <w:sz w:val="28"/>
          <w:szCs w:val="28"/>
        </w:rPr>
        <w:t>，将教学质量</w:t>
      </w:r>
      <w:r>
        <w:rPr>
          <w:rFonts w:hint="eastAsia" w:ascii="宋体" w:hAnsi="宋体" w:eastAsia="宋体"/>
          <w:sz w:val="28"/>
          <w:szCs w:val="28"/>
        </w:rPr>
        <w:t>检查结果纳入教师考核体系</w:t>
      </w:r>
      <w:r>
        <w:rPr>
          <w:rFonts w:hint="eastAsia" w:ascii="宋体" w:hAnsi="宋体" w:eastAsia="宋体" w:cs="宋体"/>
          <w:sz w:val="28"/>
          <w:szCs w:val="28"/>
        </w:rPr>
        <w:t>，作为评优评先、职称评审的核心指标</w:t>
      </w:r>
      <w:r>
        <w:rPr>
          <w:rFonts w:hint="eastAsia" w:ascii="宋体" w:hAnsi="宋体" w:eastAsia="宋体"/>
          <w:sz w:val="28"/>
          <w:szCs w:val="28"/>
        </w:rPr>
        <w:t>。</w:t>
      </w:r>
    </w:p>
    <w:p w14:paraId="7383AE19">
      <w:pPr>
        <w:keepNext w:val="0"/>
        <w:keepLines w:val="0"/>
        <w:pageBreakBefore w:val="0"/>
        <w:widowControl w:val="0"/>
        <w:kinsoku/>
        <w:wordWrap/>
        <w:overflowPunct/>
        <w:topLinePunct w:val="0"/>
        <w:autoSpaceDE/>
        <w:autoSpaceDN/>
        <w:bidi w:val="0"/>
        <w:snapToGrid/>
        <w:spacing w:line="520" w:lineRule="atLeast"/>
        <w:ind w:left="0" w:firstLine="562" w:firstLineChars="200"/>
        <w:textAlignment w:val="auto"/>
        <w:rPr>
          <w:rFonts w:hint="eastAsia" w:ascii="宋体" w:hAnsi="宋体" w:eastAsia="宋体"/>
          <w:sz w:val="28"/>
          <w:szCs w:val="28"/>
        </w:rPr>
      </w:pPr>
      <w:r>
        <w:rPr>
          <w:rFonts w:hint="eastAsia" w:ascii="宋体" w:hAnsi="宋体" w:eastAsia="宋体"/>
          <w:b/>
          <w:sz w:val="28"/>
          <w:szCs w:val="28"/>
        </w:rPr>
        <w:t>（</w:t>
      </w:r>
      <w:r>
        <w:rPr>
          <w:rFonts w:hint="eastAsia" w:ascii="宋体" w:hAnsi="宋体" w:eastAsia="宋体"/>
          <w:b/>
          <w:sz w:val="28"/>
          <w:szCs w:val="28"/>
          <w:lang w:val="en-US" w:eastAsia="zh-CN"/>
        </w:rPr>
        <w:t>二</w:t>
      </w:r>
      <w:r>
        <w:rPr>
          <w:rFonts w:hint="eastAsia" w:ascii="宋体" w:hAnsi="宋体" w:eastAsia="宋体"/>
          <w:b/>
          <w:sz w:val="28"/>
          <w:szCs w:val="28"/>
        </w:rPr>
        <w:t>）构建多元第二课堂体系，培育契合行业发展需求的跨学科应用型金融科技人才。</w:t>
      </w:r>
      <w:r>
        <w:rPr>
          <w:rFonts w:hint="eastAsia" w:ascii="宋体" w:hAnsi="宋体" w:eastAsia="宋体"/>
          <w:sz w:val="28"/>
          <w:szCs w:val="28"/>
        </w:rPr>
        <w:t>2</w:t>
      </w:r>
      <w:r>
        <w:rPr>
          <w:rFonts w:ascii="宋体" w:hAnsi="宋体" w:eastAsia="宋体"/>
          <w:sz w:val="28"/>
          <w:szCs w:val="28"/>
        </w:rPr>
        <w:t>02</w:t>
      </w:r>
      <w:r>
        <w:rPr>
          <w:rFonts w:hint="eastAsia" w:ascii="宋体" w:hAnsi="宋体" w:eastAsia="宋体"/>
          <w:sz w:val="28"/>
          <w:szCs w:val="28"/>
          <w:lang w:val="en-US" w:eastAsia="zh-CN"/>
        </w:rPr>
        <w:t>5</w:t>
      </w:r>
      <w:r>
        <w:rPr>
          <w:rFonts w:hint="eastAsia" w:ascii="宋体" w:hAnsi="宋体" w:eastAsia="宋体"/>
          <w:sz w:val="28"/>
          <w:szCs w:val="28"/>
        </w:rPr>
        <w:t>年度，持续深化“</w:t>
      </w:r>
      <w:r>
        <w:rPr>
          <w:rFonts w:hint="eastAsia" w:ascii="宋体" w:hAnsi="宋体" w:eastAsia="宋体"/>
          <w:sz w:val="28"/>
          <w:szCs w:val="28"/>
          <w:lang w:val="en-US" w:eastAsia="zh-CN"/>
        </w:rPr>
        <w:t>菁才会客厅</w:t>
      </w:r>
      <w:r>
        <w:rPr>
          <w:rFonts w:hint="eastAsia" w:ascii="宋体" w:hAnsi="宋体" w:eastAsia="宋体"/>
          <w:sz w:val="28"/>
          <w:szCs w:val="28"/>
        </w:rPr>
        <w:t>”工作室建设，</w:t>
      </w:r>
      <w:r>
        <w:rPr>
          <w:rFonts w:hint="eastAsia" w:ascii="宋体" w:hAnsi="宋体" w:eastAsia="宋体" w:cs="仿宋"/>
          <w:sz w:val="28"/>
          <w:szCs w:val="28"/>
        </w:rPr>
        <w:t>联动运营“</w:t>
      </w:r>
      <w:r>
        <w:rPr>
          <w:rFonts w:hint="eastAsia" w:ascii="宋体" w:hAnsi="宋体" w:eastAsia="宋体"/>
          <w:sz w:val="28"/>
          <w:szCs w:val="28"/>
        </w:rPr>
        <w:t>红色小炉”党建服务中心、青马研究分会、易班等育人载体；</w:t>
      </w:r>
      <w:r>
        <w:rPr>
          <w:rFonts w:hint="eastAsia" w:ascii="宋体" w:hAnsi="宋体" w:eastAsia="宋体" w:cs="仿宋"/>
          <w:sz w:val="28"/>
          <w:szCs w:val="28"/>
        </w:rPr>
        <w:t>组织师生赴“</w:t>
      </w:r>
      <w:r>
        <w:rPr>
          <w:rFonts w:hint="eastAsia" w:ascii="宋体" w:hAnsi="宋体" w:eastAsia="宋体"/>
          <w:sz w:val="28"/>
          <w:szCs w:val="28"/>
        </w:rPr>
        <w:t>人民的城市”开展沉浸式主题党日活动</w:t>
      </w:r>
      <w:r>
        <w:rPr>
          <w:rFonts w:hint="eastAsia" w:ascii="宋体" w:hAnsi="宋体" w:eastAsia="宋体" w:cs="仿宋"/>
          <w:sz w:val="28"/>
          <w:szCs w:val="28"/>
        </w:rPr>
        <w:t>；扎实推进“</w:t>
      </w:r>
      <w:r>
        <w:rPr>
          <w:rFonts w:hint="eastAsia" w:ascii="宋体" w:hAnsi="宋体" w:eastAsia="宋体"/>
          <w:sz w:val="28"/>
          <w:szCs w:val="28"/>
        </w:rPr>
        <w:t>师德师风建设年”专项工作。党建工作中：深化“双带头人”党支部书记培育工程；推进</w:t>
      </w:r>
      <w:r>
        <w:rPr>
          <w:rFonts w:hint="eastAsia" w:ascii="宋体" w:hAnsi="宋体" w:eastAsia="宋体" w:cs="宋体"/>
          <w:sz w:val="28"/>
          <w:szCs w:val="28"/>
        </w:rPr>
        <w:t>基层党组织“</w:t>
      </w:r>
      <w:r>
        <w:rPr>
          <w:rFonts w:hint="eastAsia" w:ascii="宋体" w:hAnsi="宋体" w:eastAsia="宋体"/>
          <w:sz w:val="28"/>
          <w:szCs w:val="28"/>
        </w:rPr>
        <w:t>攀登”计划样板党支部建设；严格落实</w:t>
      </w:r>
      <w:r>
        <w:rPr>
          <w:rFonts w:hint="eastAsia" w:ascii="宋体" w:hAnsi="宋体" w:eastAsia="宋体" w:cs="宋体"/>
          <w:sz w:val="28"/>
          <w:szCs w:val="28"/>
        </w:rPr>
        <w:t>党支部“</w:t>
      </w:r>
      <w:r>
        <w:rPr>
          <w:rFonts w:hint="eastAsia" w:ascii="宋体" w:hAnsi="宋体" w:eastAsia="宋体"/>
          <w:sz w:val="28"/>
          <w:szCs w:val="28"/>
        </w:rPr>
        <w:t>三会一课”制度，</w:t>
      </w:r>
      <w:r>
        <w:rPr>
          <w:rFonts w:hint="eastAsia" w:ascii="宋体" w:hAnsi="宋体" w:eastAsia="宋体" w:cs="宋体"/>
          <w:sz w:val="28"/>
          <w:szCs w:val="28"/>
        </w:rPr>
        <w:t>全过程</w:t>
      </w:r>
      <w:r>
        <w:rPr>
          <w:rFonts w:hint="eastAsia" w:ascii="宋体" w:hAnsi="宋体" w:eastAsia="宋体"/>
          <w:sz w:val="28"/>
          <w:szCs w:val="28"/>
        </w:rPr>
        <w:t>规范党员发展流程。</w:t>
      </w:r>
    </w:p>
    <w:p w14:paraId="663CCE38">
      <w:pPr>
        <w:keepNext w:val="0"/>
        <w:keepLines w:val="0"/>
        <w:pageBreakBefore w:val="0"/>
        <w:widowControl w:val="0"/>
        <w:kinsoku/>
        <w:wordWrap/>
        <w:overflowPunct/>
        <w:topLinePunct w:val="0"/>
        <w:autoSpaceDE/>
        <w:autoSpaceDN/>
        <w:bidi w:val="0"/>
        <w:snapToGrid/>
        <w:spacing w:line="520" w:lineRule="atLeast"/>
        <w:ind w:left="0" w:firstLine="560" w:firstLineChars="200"/>
        <w:textAlignment w:val="auto"/>
        <w:rPr>
          <w:rFonts w:hint="eastAsia" w:ascii="宋体" w:hAnsi="宋体" w:eastAsia="宋体"/>
          <w:sz w:val="28"/>
          <w:szCs w:val="28"/>
        </w:rPr>
      </w:pPr>
      <w:r>
        <w:rPr>
          <w:rFonts w:hint="eastAsia" w:ascii="宋体" w:hAnsi="宋体" w:eastAsia="宋体"/>
          <w:sz w:val="28"/>
          <w:szCs w:val="28"/>
        </w:rPr>
        <w:t>202</w:t>
      </w:r>
      <w:r>
        <w:rPr>
          <w:rFonts w:hint="eastAsia" w:ascii="宋体" w:hAnsi="宋体" w:eastAsia="宋体"/>
          <w:sz w:val="28"/>
          <w:szCs w:val="28"/>
          <w:lang w:val="en-US" w:eastAsia="zh-CN"/>
        </w:rPr>
        <w:t>5</w:t>
      </w:r>
      <w:r>
        <w:rPr>
          <w:rFonts w:hint="eastAsia" w:ascii="宋体" w:hAnsi="宋体" w:eastAsia="宋体"/>
          <w:sz w:val="28"/>
          <w:szCs w:val="28"/>
        </w:rPr>
        <w:t>年，</w:t>
      </w:r>
      <w:r>
        <w:rPr>
          <w:rFonts w:hint="eastAsia" w:ascii="宋体" w:hAnsi="宋体" w:eastAsia="宋体"/>
          <w:sz w:val="28"/>
          <w:szCs w:val="28"/>
          <w:lang w:val="en-US" w:eastAsia="zh-CN"/>
        </w:rPr>
        <w:t>学院</w:t>
      </w:r>
      <w:r>
        <w:rPr>
          <w:rFonts w:hint="eastAsia" w:ascii="宋体" w:hAnsi="宋体" w:eastAsia="宋体"/>
          <w:sz w:val="28"/>
          <w:szCs w:val="28"/>
        </w:rPr>
        <w:t>党支部党建工作成效显著：发展预备党员5人，预备期满</w:t>
      </w:r>
      <w:r>
        <w:rPr>
          <w:rFonts w:hint="eastAsia" w:ascii="宋体" w:hAnsi="宋体" w:eastAsia="宋体"/>
          <w:sz w:val="28"/>
          <w:szCs w:val="28"/>
          <w:lang w:eastAsia="zh-CN"/>
        </w:rPr>
        <w:t>按期</w:t>
      </w:r>
      <w:r>
        <w:rPr>
          <w:rFonts w:hint="eastAsia" w:ascii="宋体" w:hAnsi="宋体" w:eastAsia="宋体"/>
          <w:sz w:val="28"/>
          <w:szCs w:val="28"/>
        </w:rPr>
        <w:t>转正7人，转正率100%；培养入党积极分子10人。发展党员始终把政治标准摆在首位，实施党员分类教育管理，毕业生党员组织关系转接率100%。</w:t>
      </w:r>
    </w:p>
    <w:p w14:paraId="3D4BA77A">
      <w:pPr>
        <w:spacing w:line="360" w:lineRule="auto"/>
        <w:ind w:firstLine="480"/>
        <w:rPr>
          <w:rFonts w:hint="eastAsia" w:ascii="宋体" w:hAnsi="宋体" w:eastAsia="宋体"/>
          <w:sz w:val="28"/>
          <w:szCs w:val="28"/>
        </w:rPr>
      </w:pPr>
      <w:r>
        <w:rPr>
          <w:rFonts w:hint="eastAsia" w:ascii="宋体" w:hAnsi="宋体" w:eastAsia="宋体" w:cstheme="minorBidi"/>
          <w:b/>
          <w:bCs/>
          <w:kern w:val="2"/>
          <w:sz w:val="28"/>
          <w:szCs w:val="28"/>
          <w:lang w:val="en-US" w:eastAsia="zh-CN" w:bidi="ar-SA"/>
        </w:rPr>
        <w:t>（三）</w:t>
      </w:r>
      <w:r>
        <w:rPr>
          <w:rFonts w:hint="eastAsia" w:ascii="宋体" w:hAnsi="宋体" w:eastAsia="宋体"/>
          <w:b/>
          <w:sz w:val="28"/>
          <w:szCs w:val="28"/>
        </w:rPr>
        <w:t>推进产学研基地建设，鼓励学生参加社会实践，强化专业知识应用与就业竞争力提升。</w:t>
      </w:r>
      <w:r>
        <w:rPr>
          <w:rFonts w:hint="eastAsia" w:ascii="宋体" w:hAnsi="宋体" w:eastAsia="宋体"/>
          <w:sz w:val="28"/>
          <w:szCs w:val="28"/>
        </w:rPr>
        <w:t>重点建设</w:t>
      </w:r>
      <w:r>
        <w:rPr>
          <w:rFonts w:hint="eastAsia" w:ascii="宋体" w:hAnsi="宋体" w:eastAsia="宋体" w:cs="宋体"/>
          <w:sz w:val="28"/>
          <w:szCs w:val="28"/>
        </w:rPr>
        <w:t>“华钦博卓”校企合作试点班，获校级产学研基地重点实践项目立项并高质量结项</w:t>
      </w:r>
      <w:r>
        <w:rPr>
          <w:rFonts w:hint="eastAsia" w:ascii="宋体" w:hAnsi="宋体" w:eastAsia="宋体"/>
          <w:sz w:val="28"/>
          <w:szCs w:val="28"/>
        </w:rPr>
        <w:t>。走访华钦集团、</w:t>
      </w:r>
      <w:r>
        <w:rPr>
          <w:rFonts w:hint="eastAsia" w:ascii="宋体" w:hAnsi="宋体" w:eastAsia="宋体"/>
          <w:sz w:val="28"/>
          <w:szCs w:val="28"/>
          <w:lang w:val="en-US" w:eastAsia="zh-CN"/>
        </w:rPr>
        <w:t>阿里巴巴、邮储银行</w:t>
      </w:r>
      <w:r>
        <w:rPr>
          <w:rFonts w:hint="eastAsia" w:ascii="宋体" w:hAnsi="宋体" w:eastAsia="宋体"/>
          <w:sz w:val="28"/>
          <w:szCs w:val="28"/>
        </w:rPr>
        <w:t>银行等产</w:t>
      </w:r>
      <w:r>
        <w:rPr>
          <w:rFonts w:hint="eastAsia" w:ascii="宋体" w:hAnsi="宋体" w:eastAsia="宋体" w:cs="宋体"/>
          <w:sz w:val="28"/>
          <w:szCs w:val="28"/>
        </w:rPr>
        <w:t>学研基地。2025年度，学院与金融数据港等6家单位签订产学研合作协议，与上海市金融数据港共建"一站式科创中心""立信F-STEM Lab"，落地"区块链测评中心""金融科技协同创新实验室"，形成"创新场景—实验教学—成果孵化"链条；组织完成教育部现代产业学院建设申报，形成"产业、专业、就业"一体化的金融科技人才培养体系，获校教学成果一等奖。</w:t>
      </w:r>
    </w:p>
    <w:p w14:paraId="5DBCFC9F">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firstLine="562" w:firstLineChars="200"/>
        <w:contextualSpacing/>
        <w:textAlignment w:val="auto"/>
        <w:rPr>
          <w:rFonts w:hint="eastAsia" w:ascii="宋体" w:hAnsi="宋体" w:eastAsia="宋体" w:cs="宋体"/>
          <w:sz w:val="28"/>
          <w:szCs w:val="28"/>
        </w:rPr>
      </w:pPr>
      <w:r>
        <w:rPr>
          <w:rFonts w:hint="eastAsia" w:ascii="宋体" w:hAnsi="宋体" w:eastAsia="宋体" w:cstheme="minorBidi"/>
          <w:b/>
          <w:bCs/>
          <w:kern w:val="2"/>
          <w:sz w:val="28"/>
          <w:szCs w:val="28"/>
          <w:lang w:val="en-US" w:eastAsia="zh-CN" w:bidi="ar-SA"/>
        </w:rPr>
        <w:t>（四）</w:t>
      </w:r>
      <w:r>
        <w:rPr>
          <w:rFonts w:hint="eastAsia" w:ascii="宋体" w:hAnsi="宋体" w:eastAsia="宋体"/>
          <w:b/>
          <w:sz w:val="28"/>
          <w:szCs w:val="28"/>
        </w:rPr>
        <w:t>国际交流合作书写新篇章。</w:t>
      </w:r>
      <w:r>
        <w:rPr>
          <w:rFonts w:hint="eastAsia" w:ascii="宋体" w:hAnsi="宋体" w:eastAsia="宋体"/>
          <w:sz w:val="28"/>
          <w:szCs w:val="28"/>
        </w:rPr>
        <w:t>深化开放办学战略，持续深化对外合作，</w:t>
      </w:r>
      <w:r>
        <w:rPr>
          <w:rFonts w:hint="eastAsia" w:ascii="宋体" w:hAnsi="宋体" w:eastAsia="宋体"/>
          <w:sz w:val="28"/>
          <w:szCs w:val="28"/>
          <w:lang w:val="en-US" w:eastAsia="zh-CN"/>
        </w:rPr>
        <w:t>第三批</w:t>
      </w:r>
      <w:r>
        <w:rPr>
          <w:rFonts w:hint="eastAsia" w:ascii="宋体" w:hAnsi="宋体" w:eastAsia="宋体" w:cs="宋体"/>
          <w:sz w:val="28"/>
          <w:szCs w:val="28"/>
        </w:rPr>
        <w:t>“</w:t>
      </w:r>
      <w:r>
        <w:rPr>
          <w:rFonts w:ascii="宋体" w:hAnsi="宋体" w:eastAsia="宋体"/>
          <w:sz w:val="28"/>
          <w:szCs w:val="28"/>
        </w:rPr>
        <w:t>3+1”</w:t>
      </w:r>
      <w:r>
        <w:rPr>
          <w:rFonts w:hint="eastAsia" w:ascii="宋体" w:hAnsi="宋体" w:eastAsia="宋体"/>
          <w:sz w:val="28"/>
          <w:szCs w:val="28"/>
        </w:rPr>
        <w:t>交换生</w:t>
      </w:r>
      <w:r>
        <w:rPr>
          <w:rFonts w:hint="eastAsia" w:ascii="宋体" w:hAnsi="宋体" w:eastAsia="宋体"/>
          <w:sz w:val="28"/>
          <w:szCs w:val="28"/>
          <w:lang w:eastAsia="zh-CN"/>
        </w:rPr>
        <w:t>（</w:t>
      </w:r>
      <w:r>
        <w:rPr>
          <w:rFonts w:hint="eastAsia" w:ascii="宋体" w:hAnsi="宋体" w:eastAsia="宋体"/>
          <w:sz w:val="28"/>
          <w:szCs w:val="28"/>
          <w:lang w:val="en-US" w:eastAsia="zh-CN"/>
        </w:rPr>
        <w:t>8人</w:t>
      </w:r>
      <w:r>
        <w:rPr>
          <w:rFonts w:hint="eastAsia" w:ascii="宋体" w:hAnsi="宋体" w:eastAsia="宋体"/>
          <w:sz w:val="28"/>
          <w:szCs w:val="28"/>
          <w:lang w:eastAsia="zh-CN"/>
        </w:rPr>
        <w:t>）</w:t>
      </w:r>
      <w:r>
        <w:rPr>
          <w:rFonts w:hint="eastAsia" w:ascii="宋体" w:hAnsi="宋体" w:eastAsia="宋体" w:cs="宋体"/>
          <w:sz w:val="28"/>
          <w:szCs w:val="28"/>
        </w:rPr>
        <w:t>按期赴美开展交换学习。联合国交处举办《2025"魅力中国"美国青少年夏令营》，共接待35名美国青少年访华；联合浙江泰隆慈善基金会、泰隆银行上海分行共同举办《"泰隆之星"日本千叶商科大学暑期研学暨社会实践项目》，带领32名学生赴日本开展暑期社会实践交流。</w:t>
      </w:r>
    </w:p>
    <w:p w14:paraId="4CFA719F">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firstLine="560" w:firstLineChars="200"/>
        <w:contextualSpacing/>
        <w:textAlignment w:val="auto"/>
        <w:rPr>
          <w:rFonts w:hint="eastAsia" w:ascii="宋体" w:hAnsi="宋体" w:eastAsia="宋体" w:cs="宋体"/>
          <w:sz w:val="28"/>
          <w:szCs w:val="28"/>
        </w:rPr>
      </w:pPr>
    </w:p>
    <w:p w14:paraId="02A2FD38">
      <w:pPr>
        <w:keepNext w:val="0"/>
        <w:keepLines w:val="0"/>
        <w:pageBreakBefore w:val="0"/>
        <w:widowControl w:val="0"/>
        <w:numPr>
          <w:ilvl w:val="0"/>
          <w:numId w:val="1"/>
        </w:numPr>
        <w:kinsoku/>
        <w:wordWrap/>
        <w:overflowPunct/>
        <w:topLinePunct w:val="0"/>
        <w:autoSpaceDE/>
        <w:autoSpaceDN/>
        <w:bidi w:val="0"/>
        <w:adjustRightInd w:val="0"/>
        <w:snapToGrid/>
        <w:spacing w:line="520" w:lineRule="atLeast"/>
        <w:ind w:left="0" w:leftChars="0" w:firstLine="562" w:firstLineChars="200"/>
        <w:contextualSpacing/>
        <w:textAlignment w:val="auto"/>
        <w:rPr>
          <w:rFonts w:hint="eastAsia" w:ascii="宋体" w:hAnsi="宋体" w:eastAsia="宋体"/>
          <w:b/>
          <w:bCs/>
          <w:sz w:val="28"/>
          <w:szCs w:val="28"/>
        </w:rPr>
      </w:pPr>
      <w:r>
        <w:rPr>
          <w:rFonts w:hint="eastAsia" w:ascii="宋体" w:hAnsi="宋体" w:eastAsia="宋体"/>
          <w:b/>
          <w:bCs/>
          <w:sz w:val="28"/>
          <w:szCs w:val="28"/>
          <w:lang w:val="en-US" w:eastAsia="zh-CN"/>
        </w:rPr>
        <w:t>财务管理情况</w:t>
      </w:r>
    </w:p>
    <w:p w14:paraId="557F94E5">
      <w:pPr>
        <w:keepNext w:val="0"/>
        <w:keepLines w:val="0"/>
        <w:pageBreakBefore w:val="0"/>
        <w:widowControl w:val="0"/>
        <w:kinsoku/>
        <w:wordWrap/>
        <w:overflowPunct/>
        <w:topLinePunct w:val="0"/>
        <w:autoSpaceDE/>
        <w:autoSpaceDN/>
        <w:bidi w:val="0"/>
        <w:adjustRightInd w:val="0"/>
        <w:snapToGrid/>
        <w:spacing w:line="520" w:lineRule="atLeast"/>
        <w:ind w:left="0" w:firstLine="560" w:firstLineChars="200"/>
        <w:contextualSpacing/>
        <w:textAlignment w:val="auto"/>
        <w:rPr>
          <w:rFonts w:hint="eastAsia" w:ascii="宋体" w:hAnsi="宋体" w:eastAsia="宋体"/>
          <w:sz w:val="28"/>
          <w:szCs w:val="28"/>
        </w:rPr>
      </w:pPr>
      <w:r>
        <w:rPr>
          <w:rFonts w:hint="eastAsia" w:ascii="宋体" w:hAnsi="宋体" w:eastAsia="宋体"/>
          <w:sz w:val="28"/>
          <w:szCs w:val="28"/>
        </w:rPr>
        <w:t>本项目</w:t>
      </w:r>
      <w:r>
        <w:rPr>
          <w:rFonts w:hint="eastAsia" w:ascii="宋体" w:hAnsi="宋体" w:eastAsia="宋体" w:cs="宋体"/>
          <w:sz w:val="28"/>
          <w:szCs w:val="28"/>
        </w:rPr>
        <w:t>纳入国家统一招生计划，</w:t>
      </w:r>
      <w:r>
        <w:rPr>
          <w:rFonts w:hint="eastAsia" w:ascii="宋体" w:hAnsi="宋体" w:eastAsia="宋体"/>
          <w:sz w:val="28"/>
          <w:szCs w:val="28"/>
        </w:rPr>
        <w:t>每生每年学费为15000元。学费实行专项账户独立核算</w:t>
      </w:r>
      <w:r>
        <w:rPr>
          <w:rFonts w:hint="eastAsia" w:ascii="宋体" w:hAnsi="宋体" w:eastAsia="宋体" w:cs="宋体"/>
          <w:sz w:val="28"/>
          <w:szCs w:val="28"/>
        </w:rPr>
        <w:t>，</w:t>
      </w:r>
      <w:r>
        <w:rPr>
          <w:rFonts w:hint="eastAsia" w:ascii="宋体" w:hAnsi="宋体" w:eastAsia="宋体"/>
          <w:sz w:val="28"/>
          <w:szCs w:val="28"/>
        </w:rPr>
        <w:t>由学校财务处统一办理收支业务，确保资金</w:t>
      </w:r>
      <w:r>
        <w:rPr>
          <w:rFonts w:ascii="宋体" w:hAnsi="宋体" w:eastAsia="宋体"/>
          <w:sz w:val="28"/>
          <w:szCs w:val="28"/>
        </w:rPr>
        <w:t>100%</w:t>
      </w:r>
      <w:r>
        <w:rPr>
          <w:rFonts w:hint="eastAsia" w:ascii="宋体" w:hAnsi="宋体" w:eastAsia="宋体"/>
          <w:sz w:val="28"/>
          <w:szCs w:val="28"/>
        </w:rPr>
        <w:t>投入教学质量提升与办学条件优化。学费收入的65%用于支付外方的预注册费、课酬和管理费等；其余收入由中方负责支配，用于中方课酬、管理费、课程建设、招生宣传、基础设施改善和学生活动等。本项目的收支均严格按照教育部《中外合作办学条例》及相关制度的具体规定管理。</w:t>
      </w:r>
    </w:p>
    <w:p w14:paraId="516CA266">
      <w:pPr>
        <w:keepNext w:val="0"/>
        <w:keepLines w:val="0"/>
        <w:pageBreakBefore w:val="0"/>
        <w:widowControl w:val="0"/>
        <w:kinsoku/>
        <w:wordWrap/>
        <w:overflowPunct/>
        <w:topLinePunct w:val="0"/>
        <w:autoSpaceDE/>
        <w:autoSpaceDN/>
        <w:bidi w:val="0"/>
        <w:adjustRightInd w:val="0"/>
        <w:snapToGrid/>
        <w:spacing w:line="520" w:lineRule="atLeast"/>
        <w:ind w:left="0" w:firstLine="560" w:firstLineChars="200"/>
        <w:contextualSpacing/>
        <w:textAlignment w:val="auto"/>
        <w:rPr>
          <w:rFonts w:hint="eastAsia" w:ascii="宋体" w:hAnsi="宋体" w:eastAsia="宋体"/>
          <w:sz w:val="28"/>
          <w:szCs w:val="28"/>
        </w:rPr>
      </w:pPr>
    </w:p>
    <w:p w14:paraId="427EE843">
      <w:pPr>
        <w:keepNext w:val="0"/>
        <w:keepLines w:val="0"/>
        <w:pageBreakBefore w:val="0"/>
        <w:widowControl w:val="0"/>
        <w:numPr>
          <w:ilvl w:val="0"/>
          <w:numId w:val="1"/>
        </w:numPr>
        <w:kinsoku/>
        <w:wordWrap/>
        <w:overflowPunct/>
        <w:topLinePunct w:val="0"/>
        <w:autoSpaceDE/>
        <w:autoSpaceDN/>
        <w:bidi w:val="0"/>
        <w:adjustRightInd w:val="0"/>
        <w:snapToGrid/>
        <w:spacing w:line="520" w:lineRule="atLeast"/>
        <w:ind w:left="0" w:leftChars="0" w:firstLine="562" w:firstLineChars="200"/>
        <w:contextualSpacing/>
        <w:textAlignment w:val="auto"/>
        <w:rPr>
          <w:rFonts w:hint="eastAsia" w:ascii="宋体" w:hAnsi="宋体" w:eastAsia="宋体"/>
          <w:b/>
          <w:bCs/>
          <w:sz w:val="28"/>
          <w:szCs w:val="28"/>
        </w:rPr>
      </w:pPr>
      <w:r>
        <w:rPr>
          <w:rFonts w:hint="eastAsia" w:ascii="宋体" w:hAnsi="宋体" w:eastAsia="宋体"/>
          <w:b/>
          <w:bCs/>
          <w:sz w:val="28"/>
          <w:szCs w:val="28"/>
          <w:lang w:val="en-US" w:eastAsia="zh-CN"/>
        </w:rPr>
        <w:t>组织管理情况</w:t>
      </w:r>
    </w:p>
    <w:p w14:paraId="72BDFA48">
      <w:pPr>
        <w:keepNext w:val="0"/>
        <w:keepLines w:val="0"/>
        <w:pageBreakBefore w:val="0"/>
        <w:widowControl w:val="0"/>
        <w:kinsoku/>
        <w:wordWrap/>
        <w:overflowPunct/>
        <w:topLinePunct w:val="0"/>
        <w:autoSpaceDE/>
        <w:autoSpaceDN/>
        <w:bidi w:val="0"/>
        <w:adjustRightInd w:val="0"/>
        <w:snapToGrid/>
        <w:spacing w:line="520" w:lineRule="atLeast"/>
        <w:ind w:left="0" w:firstLine="560" w:firstLineChars="200"/>
        <w:contextualSpacing/>
        <w:textAlignment w:val="auto"/>
        <w:rPr>
          <w:rFonts w:hint="eastAsia" w:ascii="宋体" w:hAnsi="宋体" w:eastAsia="宋体"/>
          <w:sz w:val="28"/>
          <w:szCs w:val="28"/>
        </w:rPr>
      </w:pPr>
      <w:r>
        <w:rPr>
          <w:rFonts w:hint="eastAsia" w:ascii="宋体" w:hAnsi="宋体" w:eastAsia="宋体"/>
          <w:sz w:val="28"/>
          <w:szCs w:val="28"/>
        </w:rPr>
        <w:t>本项目严格遵循“统一领导、归口管理、分级负责、协调配合”的统筹管理原则。具体工作</w:t>
      </w:r>
      <w:r>
        <w:rPr>
          <w:rFonts w:hint="eastAsia" w:ascii="宋体" w:hAnsi="宋体" w:eastAsia="宋体" w:cs="宋体"/>
          <w:sz w:val="28"/>
          <w:szCs w:val="28"/>
        </w:rPr>
        <w:t>在学校中美合作办学管理委员会和本科教育项目联合管理小组共同指导下，持续优化项目管理体系</w:t>
      </w:r>
      <w:r>
        <w:rPr>
          <w:rFonts w:hint="eastAsia" w:ascii="宋体" w:hAnsi="宋体" w:eastAsia="宋体"/>
          <w:sz w:val="28"/>
          <w:szCs w:val="28"/>
        </w:rPr>
        <w:t>。在中美本科教育项目管理委员会框架下，双方</w:t>
      </w:r>
      <w:r>
        <w:rPr>
          <w:rFonts w:hint="eastAsia" w:ascii="宋体" w:hAnsi="宋体" w:eastAsia="宋体" w:cs="宋体"/>
          <w:sz w:val="28"/>
          <w:szCs w:val="28"/>
        </w:rPr>
        <w:t>严格对标协议教学大纲，协同推进教学计划、实习方案及创新教学法的落地实施。创新开展“师言生语”品牌活动，建立常态化师生对话机制，定期收集学情反馈，开展课程内容重构研讨，实现教学相长良性循环</w:t>
      </w:r>
      <w:r>
        <w:rPr>
          <w:rFonts w:hint="eastAsia" w:ascii="宋体" w:hAnsi="宋体" w:eastAsia="宋体"/>
          <w:sz w:val="28"/>
          <w:szCs w:val="28"/>
        </w:rPr>
        <w:t>。</w:t>
      </w:r>
    </w:p>
    <w:p w14:paraId="68419C09">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leftChars="0" w:firstLine="562" w:firstLineChars="200"/>
        <w:contextualSpacing/>
        <w:textAlignment w:val="auto"/>
        <w:rPr>
          <w:rFonts w:hint="default" w:ascii="宋体" w:hAnsi="宋体" w:eastAsia="宋体"/>
          <w:b/>
          <w:bCs/>
          <w:sz w:val="28"/>
          <w:szCs w:val="28"/>
          <w:lang w:val="en-US"/>
        </w:rPr>
      </w:pPr>
    </w:p>
    <w:p w14:paraId="00CD6B61">
      <w:pPr>
        <w:keepNext w:val="0"/>
        <w:keepLines w:val="0"/>
        <w:pageBreakBefore w:val="0"/>
        <w:widowControl w:val="0"/>
        <w:numPr>
          <w:ilvl w:val="0"/>
          <w:numId w:val="1"/>
        </w:numPr>
        <w:kinsoku/>
        <w:wordWrap/>
        <w:overflowPunct/>
        <w:topLinePunct w:val="0"/>
        <w:autoSpaceDE/>
        <w:autoSpaceDN/>
        <w:bidi w:val="0"/>
        <w:adjustRightInd w:val="0"/>
        <w:snapToGrid/>
        <w:spacing w:line="520" w:lineRule="atLeast"/>
        <w:ind w:left="0" w:leftChars="0" w:firstLine="562" w:firstLineChars="200"/>
        <w:contextualSpacing/>
        <w:textAlignment w:val="auto"/>
        <w:rPr>
          <w:rFonts w:hint="default" w:ascii="宋体" w:hAnsi="宋体" w:eastAsia="宋体"/>
          <w:b/>
          <w:bCs/>
          <w:sz w:val="28"/>
          <w:szCs w:val="28"/>
          <w:lang w:val="en-US"/>
        </w:rPr>
      </w:pPr>
      <w:r>
        <w:rPr>
          <w:rFonts w:hint="eastAsia" w:ascii="宋体" w:hAnsi="宋体" w:eastAsia="宋体"/>
          <w:b/>
          <w:bCs/>
          <w:sz w:val="28"/>
          <w:szCs w:val="28"/>
          <w:lang w:val="en-US" w:eastAsia="zh-CN"/>
        </w:rPr>
        <w:t>依法办学及办学规范性情况</w:t>
      </w:r>
    </w:p>
    <w:p w14:paraId="271233D1">
      <w:pPr>
        <w:pStyle w:val="4"/>
        <w:keepNext w:val="0"/>
        <w:keepLines w:val="0"/>
        <w:pageBreakBefore w:val="0"/>
        <w:widowControl w:val="0"/>
        <w:numPr>
          <w:ilvl w:val="0"/>
          <w:numId w:val="0"/>
        </w:numPr>
        <w:kinsoku/>
        <w:wordWrap/>
        <w:overflowPunct/>
        <w:topLinePunct w:val="0"/>
        <w:autoSpaceDE/>
        <w:autoSpaceDN/>
        <w:bidi w:val="0"/>
        <w:snapToGrid/>
        <w:spacing w:before="78" w:line="520" w:lineRule="atLeast"/>
        <w:ind w:left="0" w:leftChars="0" w:right="0" w:firstLine="562" w:firstLineChars="200"/>
        <w:textAlignment w:val="auto"/>
        <w:rPr>
          <w:rFonts w:hint="eastAsia" w:ascii="宋体" w:hAnsi="宋体" w:eastAsia="宋体" w:cstheme="minorBidi"/>
          <w:b/>
          <w:bCs/>
          <w:kern w:val="2"/>
          <w:sz w:val="28"/>
          <w:szCs w:val="28"/>
          <w:lang w:val="en-US" w:eastAsia="zh-CN" w:bidi="ar-SA"/>
        </w:rPr>
      </w:pPr>
      <w:r>
        <w:rPr>
          <w:rFonts w:hint="eastAsia" w:cstheme="minorBidi"/>
          <w:b/>
          <w:bCs/>
          <w:kern w:val="2"/>
          <w:sz w:val="28"/>
          <w:szCs w:val="28"/>
          <w:lang w:val="en-US" w:eastAsia="zh-CN" w:bidi="ar-SA"/>
        </w:rPr>
        <w:t>（一）</w:t>
      </w:r>
      <w:r>
        <w:rPr>
          <w:rFonts w:hint="eastAsia" w:ascii="宋体" w:hAnsi="宋体" w:eastAsia="宋体" w:cstheme="minorBidi"/>
          <w:b/>
          <w:bCs/>
          <w:kern w:val="2"/>
          <w:sz w:val="28"/>
          <w:szCs w:val="28"/>
          <w:lang w:val="en-US" w:eastAsia="zh-CN" w:bidi="ar-SA"/>
        </w:rPr>
        <w:t xml:space="preserve"> 依法办学</w:t>
      </w:r>
    </w:p>
    <w:p w14:paraId="08B0303A">
      <w:pPr>
        <w:pStyle w:val="4"/>
        <w:keepNext w:val="0"/>
        <w:keepLines w:val="0"/>
        <w:pageBreakBefore w:val="0"/>
        <w:widowControl w:val="0"/>
        <w:kinsoku/>
        <w:wordWrap/>
        <w:overflowPunct/>
        <w:topLinePunct w:val="0"/>
        <w:autoSpaceDE/>
        <w:autoSpaceDN/>
        <w:bidi w:val="0"/>
        <w:snapToGrid/>
        <w:spacing w:before="41" w:line="520" w:lineRule="atLeast"/>
        <w:ind w:left="0" w:right="0" w:firstLine="560" w:firstLineChars="200"/>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自2019年获批以来，本项目始终坚持依法办学，严格遵守《中华人民共和国中外合作办学条例》及实施办法、《教育部关于当前中外合作办学若干问题的意见》等相关法律法规，依据双方签订的《合作办学协议》运行。接受教育行政部门对本中外合作办学的审批与监管，定期提交年度自评报告。此外，完善并严格执行《中共上海立信会计金融学院金融科技学院总支部委员会中外合作办学党建实施办法》《上海立信会计金融学院外籍专家（教师）聘任和管理办法》《金融科技学院外籍教师教育教学行为规范》《金融科技学院境外原版教材选用管理办法》等制度文件，依法依规办学。</w:t>
      </w:r>
    </w:p>
    <w:p w14:paraId="7D9472B3">
      <w:pPr>
        <w:pStyle w:val="4"/>
        <w:keepNext w:val="0"/>
        <w:keepLines w:val="0"/>
        <w:pageBreakBefore w:val="0"/>
        <w:widowControl w:val="0"/>
        <w:kinsoku/>
        <w:wordWrap/>
        <w:overflowPunct/>
        <w:topLinePunct w:val="0"/>
        <w:autoSpaceDE/>
        <w:autoSpaceDN/>
        <w:bidi w:val="0"/>
        <w:snapToGrid/>
        <w:spacing w:before="39" w:line="520" w:lineRule="atLeast"/>
        <w:ind w:left="0" w:right="0" w:firstLine="562" w:firstLineChars="200"/>
        <w:textAlignment w:val="auto"/>
        <w:rPr>
          <w:rFonts w:hint="eastAsia" w:ascii="宋体" w:hAnsi="宋体" w:eastAsia="宋体" w:cstheme="minorBidi"/>
          <w:b/>
          <w:bCs/>
          <w:kern w:val="2"/>
          <w:sz w:val="28"/>
          <w:szCs w:val="28"/>
          <w:lang w:val="en-US" w:eastAsia="zh-CN" w:bidi="ar-SA"/>
        </w:rPr>
      </w:pPr>
      <w:r>
        <w:rPr>
          <w:rFonts w:hint="eastAsia" w:cstheme="minorBidi"/>
          <w:b/>
          <w:bCs/>
          <w:kern w:val="2"/>
          <w:sz w:val="28"/>
          <w:szCs w:val="28"/>
          <w:lang w:val="en-US" w:eastAsia="zh-CN" w:bidi="ar-SA"/>
        </w:rPr>
        <w:t>(二）</w:t>
      </w:r>
      <w:r>
        <w:rPr>
          <w:rFonts w:hint="eastAsia" w:ascii="宋体" w:hAnsi="宋体" w:eastAsia="宋体" w:cstheme="minorBidi"/>
          <w:b/>
          <w:bCs/>
          <w:kern w:val="2"/>
          <w:sz w:val="28"/>
          <w:szCs w:val="28"/>
          <w:lang w:val="en-US" w:eastAsia="zh-CN" w:bidi="ar-SA"/>
        </w:rPr>
        <w:t>项目管理规范</w:t>
      </w:r>
    </w:p>
    <w:p w14:paraId="1B5AE427">
      <w:pPr>
        <w:pStyle w:val="4"/>
        <w:keepNext w:val="0"/>
        <w:keepLines w:val="0"/>
        <w:pageBreakBefore w:val="0"/>
        <w:widowControl w:val="0"/>
        <w:kinsoku/>
        <w:wordWrap/>
        <w:overflowPunct/>
        <w:topLinePunct w:val="0"/>
        <w:autoSpaceDE/>
        <w:autoSpaceDN/>
        <w:bidi w:val="0"/>
        <w:snapToGrid/>
        <w:spacing w:before="40" w:line="520" w:lineRule="atLeast"/>
        <w:ind w:left="0" w:right="0" w:firstLine="560" w:firstLineChars="200"/>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为保障本项目的顺利进行，成立了中美合作办学管理委员会、项目管理小组。管理委员会由7位成员组成，中方4人、美方3人，中方学校代表担任主任、新泽西理工学院代表担任副主任，共同负责项目管理，包括制定和修改项目管理章程、规章管理制度、发展规划、审批工作计划、审核预算与决算、决定项目的中止等重大事宜。学院书记为管理委员会委员，全程参与各项重大决策。此外，管理小组还设有秘书1人，负责日常外事接待、教学管理等工作，确保项目的日常运作规范有序。</w:t>
      </w:r>
    </w:p>
    <w:p w14:paraId="3BF40DC4">
      <w:pPr>
        <w:pStyle w:val="4"/>
        <w:keepNext w:val="0"/>
        <w:keepLines w:val="0"/>
        <w:pageBreakBefore w:val="0"/>
        <w:widowControl w:val="0"/>
        <w:kinsoku/>
        <w:wordWrap/>
        <w:overflowPunct/>
        <w:topLinePunct w:val="0"/>
        <w:autoSpaceDE/>
        <w:autoSpaceDN/>
        <w:bidi w:val="0"/>
        <w:snapToGrid/>
        <w:spacing w:before="38" w:line="520" w:lineRule="atLeast"/>
        <w:ind w:left="0" w:right="0" w:firstLine="562" w:firstLineChars="200"/>
        <w:textAlignment w:val="auto"/>
        <w:rPr>
          <w:rFonts w:hint="eastAsia" w:ascii="宋体" w:hAnsi="宋体" w:eastAsia="宋体" w:cstheme="minorBidi"/>
          <w:b/>
          <w:bCs/>
          <w:kern w:val="2"/>
          <w:sz w:val="28"/>
          <w:szCs w:val="28"/>
          <w:lang w:val="en-US" w:eastAsia="zh-CN" w:bidi="ar-SA"/>
        </w:rPr>
      </w:pPr>
      <w:r>
        <w:rPr>
          <w:rFonts w:hint="eastAsia" w:cstheme="minorBidi"/>
          <w:b/>
          <w:bCs/>
          <w:kern w:val="2"/>
          <w:sz w:val="28"/>
          <w:szCs w:val="28"/>
          <w:lang w:val="en-US" w:eastAsia="zh-CN" w:bidi="ar-SA"/>
        </w:rPr>
        <w:t>（三）</w:t>
      </w:r>
      <w:r>
        <w:rPr>
          <w:rFonts w:hint="eastAsia" w:ascii="宋体" w:hAnsi="宋体" w:eastAsia="宋体" w:cstheme="minorBidi"/>
          <w:b/>
          <w:bCs/>
          <w:kern w:val="2"/>
          <w:sz w:val="28"/>
          <w:szCs w:val="28"/>
          <w:lang w:val="en-US" w:eastAsia="zh-CN" w:bidi="ar-SA"/>
        </w:rPr>
        <w:t>财务管理规范</w:t>
      </w:r>
    </w:p>
    <w:p w14:paraId="347A3C25">
      <w:pPr>
        <w:pStyle w:val="4"/>
        <w:keepNext w:val="0"/>
        <w:keepLines w:val="0"/>
        <w:pageBreakBefore w:val="0"/>
        <w:widowControl w:val="0"/>
        <w:kinsoku/>
        <w:wordWrap/>
        <w:overflowPunct/>
        <w:topLinePunct w:val="0"/>
        <w:autoSpaceDE/>
        <w:autoSpaceDN/>
        <w:bidi w:val="0"/>
        <w:snapToGrid/>
        <w:spacing w:before="43" w:line="520" w:lineRule="atLeast"/>
        <w:ind w:left="0" w:right="0" w:firstLine="560" w:firstLineChars="200"/>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本项目财务管理按照非盈利性原则，严格按照上海市教委、发改委、财政局等部门审批的标准收取学费，落实其他各项收费政策。同时，我校为合作办学项目成立专门账户，实行独立核算 制度，保证中外合作办学项目经费收取和支出规范。项目运作采取自筹经费、自负盈亏的模式，办学经费专款专用，无抽逃办学资金、挪用办学经费情况，没有从事营利性活动，资金管理符合国家、上海市及学校财务管理规定。</w:t>
      </w:r>
    </w:p>
    <w:p w14:paraId="526749A4">
      <w:pPr>
        <w:pStyle w:val="4"/>
        <w:keepNext w:val="0"/>
        <w:keepLines w:val="0"/>
        <w:pageBreakBefore w:val="0"/>
        <w:widowControl w:val="0"/>
        <w:kinsoku/>
        <w:wordWrap/>
        <w:overflowPunct/>
        <w:topLinePunct w:val="0"/>
        <w:autoSpaceDE/>
        <w:autoSpaceDN/>
        <w:bidi w:val="0"/>
        <w:snapToGrid/>
        <w:spacing w:before="39" w:line="520" w:lineRule="atLeast"/>
        <w:ind w:left="0" w:right="0" w:firstLine="562" w:firstLineChars="200"/>
        <w:textAlignment w:val="auto"/>
        <w:rPr>
          <w:rFonts w:hint="eastAsia" w:ascii="宋体" w:hAnsi="宋体" w:eastAsia="宋体" w:cstheme="minorBidi"/>
          <w:b/>
          <w:bCs/>
          <w:kern w:val="2"/>
          <w:sz w:val="28"/>
          <w:szCs w:val="28"/>
          <w:lang w:val="en-US" w:eastAsia="zh-CN" w:bidi="ar-SA"/>
        </w:rPr>
      </w:pPr>
      <w:r>
        <w:rPr>
          <w:rFonts w:hint="eastAsia" w:cstheme="minorBidi"/>
          <w:b/>
          <w:bCs/>
          <w:kern w:val="2"/>
          <w:sz w:val="28"/>
          <w:szCs w:val="28"/>
          <w:lang w:val="en-US" w:eastAsia="zh-CN" w:bidi="ar-SA"/>
        </w:rPr>
        <w:t>（四）</w:t>
      </w:r>
      <w:r>
        <w:rPr>
          <w:rFonts w:hint="eastAsia" w:ascii="宋体" w:hAnsi="宋体" w:eastAsia="宋体" w:cstheme="minorBidi"/>
          <w:b/>
          <w:bCs/>
          <w:kern w:val="2"/>
          <w:sz w:val="28"/>
          <w:szCs w:val="28"/>
          <w:lang w:val="en-US" w:eastAsia="zh-CN" w:bidi="ar-SA"/>
        </w:rPr>
        <w:t>党建引领和政治把关规范</w:t>
      </w:r>
    </w:p>
    <w:p w14:paraId="5DA97BCF">
      <w:pPr>
        <w:pStyle w:val="4"/>
        <w:keepNext w:val="0"/>
        <w:keepLines w:val="0"/>
        <w:pageBreakBefore w:val="0"/>
        <w:widowControl w:val="0"/>
        <w:kinsoku/>
        <w:wordWrap/>
        <w:overflowPunct/>
        <w:topLinePunct w:val="0"/>
        <w:autoSpaceDE/>
        <w:autoSpaceDN/>
        <w:bidi w:val="0"/>
        <w:snapToGrid/>
        <w:spacing w:before="44" w:line="520" w:lineRule="atLeast"/>
        <w:ind w:left="0" w:right="0" w:firstLine="560" w:firstLineChars="200"/>
        <w:jc w:val="both"/>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学院坚持党建引领中外合作办学中心工作，确保党的建设与中外合作办学同步谋划、同步设置、同步开展。坚守政策边界、教育主权、意识形态和党建责任的底线，确保本项目符合国家法律法规和教育方针。学院在课程体系、教学内容、教材建设、教师引进管理等方面，严格把好政治关，确保本项目符合国家的教育政策和意识形态要求，坚守中国立场，确立中国情怀，传承中国文化。</w:t>
      </w:r>
    </w:p>
    <w:p w14:paraId="188C6449">
      <w:pPr>
        <w:pStyle w:val="4"/>
        <w:keepNext w:val="0"/>
        <w:keepLines w:val="0"/>
        <w:pageBreakBefore w:val="0"/>
        <w:widowControl w:val="0"/>
        <w:kinsoku/>
        <w:wordWrap/>
        <w:overflowPunct/>
        <w:topLinePunct w:val="0"/>
        <w:autoSpaceDE/>
        <w:autoSpaceDN/>
        <w:bidi w:val="0"/>
        <w:snapToGrid/>
        <w:spacing w:before="37" w:line="520" w:lineRule="atLeast"/>
        <w:ind w:left="0" w:right="0" w:firstLine="562" w:firstLineChars="200"/>
        <w:textAlignment w:val="auto"/>
        <w:rPr>
          <w:rFonts w:hint="eastAsia" w:ascii="宋体" w:hAnsi="宋体" w:eastAsia="宋体" w:cstheme="minorBidi"/>
          <w:b/>
          <w:bCs/>
          <w:kern w:val="2"/>
          <w:sz w:val="28"/>
          <w:szCs w:val="28"/>
          <w:lang w:val="en-US" w:eastAsia="zh-CN" w:bidi="ar-SA"/>
        </w:rPr>
      </w:pPr>
      <w:r>
        <w:rPr>
          <w:rFonts w:hint="eastAsia" w:cstheme="minorBidi"/>
          <w:b/>
          <w:bCs/>
          <w:kern w:val="2"/>
          <w:sz w:val="28"/>
          <w:szCs w:val="28"/>
          <w:lang w:val="en-US" w:eastAsia="zh-CN" w:bidi="ar-SA"/>
        </w:rPr>
        <w:t>（五）</w:t>
      </w:r>
      <w:bookmarkStart w:id="0" w:name="_GoBack"/>
      <w:bookmarkEnd w:id="0"/>
      <w:r>
        <w:rPr>
          <w:rFonts w:hint="eastAsia" w:ascii="宋体" w:hAnsi="宋体" w:eastAsia="宋体" w:cstheme="minorBidi"/>
          <w:b/>
          <w:bCs/>
          <w:kern w:val="2"/>
          <w:sz w:val="28"/>
          <w:szCs w:val="28"/>
          <w:lang w:val="en-US" w:eastAsia="zh-CN" w:bidi="ar-SA"/>
        </w:rPr>
        <w:t>人才培养全过程规范</w:t>
      </w:r>
    </w:p>
    <w:p w14:paraId="098706F9">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leftChars="0" w:right="0" w:firstLine="560" w:firstLineChars="200"/>
        <w:contextualSpacing/>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本项目严格履行合作办学协议，人才培养全过程规范。项目招生按照教育部和上海市教委的要求开展，纳入国家统一招生计划，按照同地区同批次计划内录取，严格落实阳光招生要求。对项目学生进行学信网和中外合作办学系统平台注册，保证学生学籍注册信息与学历学位证书发放信息的一致性。符合我校本科生毕业要求的，颁发我校学历和学位证书。本项目的人才培养方案与教学计划按照中外合作办学的相关规定单独制定，符合教育部规定的四个“三分之一”的标准。金融科技学院负责教学管理和学生日常管理。</w:t>
      </w:r>
    </w:p>
    <w:p w14:paraId="22C0E2F7">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leftChars="0" w:right="0" w:firstLine="560" w:firstLineChars="200"/>
        <w:contextualSpacing/>
        <w:textAlignment w:val="auto"/>
        <w:rPr>
          <w:rFonts w:hint="eastAsia" w:ascii="宋体" w:hAnsi="宋体" w:eastAsia="宋体" w:cstheme="minorBidi"/>
          <w:kern w:val="2"/>
          <w:sz w:val="28"/>
          <w:szCs w:val="28"/>
          <w:lang w:val="en-US" w:eastAsia="zh-CN" w:bidi="ar-SA"/>
        </w:rPr>
      </w:pPr>
    </w:p>
    <w:p w14:paraId="00B33574">
      <w:pPr>
        <w:keepNext w:val="0"/>
        <w:keepLines w:val="0"/>
        <w:pageBreakBefore w:val="0"/>
        <w:widowControl w:val="0"/>
        <w:numPr>
          <w:ilvl w:val="0"/>
          <w:numId w:val="1"/>
        </w:numPr>
        <w:kinsoku/>
        <w:wordWrap/>
        <w:overflowPunct/>
        <w:topLinePunct w:val="0"/>
        <w:autoSpaceDE/>
        <w:autoSpaceDN/>
        <w:bidi w:val="0"/>
        <w:adjustRightInd w:val="0"/>
        <w:snapToGrid/>
        <w:spacing w:line="520" w:lineRule="atLeast"/>
        <w:ind w:left="0" w:leftChars="0" w:right="0" w:firstLine="562" w:firstLineChars="200"/>
        <w:contextualSpacing/>
        <w:textAlignment w:val="auto"/>
        <w:rPr>
          <w:rFonts w:hint="default" w:ascii="宋体" w:hAnsi="宋体" w:eastAsia="宋体" w:cstheme="minorBidi"/>
          <w:b/>
          <w:bCs/>
          <w:kern w:val="2"/>
          <w:sz w:val="28"/>
          <w:szCs w:val="28"/>
          <w:lang w:val="en-US" w:eastAsia="zh-CN" w:bidi="ar-SA"/>
        </w:rPr>
      </w:pPr>
      <w:r>
        <w:rPr>
          <w:rFonts w:hint="eastAsia" w:ascii="宋体" w:hAnsi="宋体" w:eastAsia="宋体" w:cstheme="minorBidi"/>
          <w:b/>
          <w:bCs/>
          <w:kern w:val="2"/>
          <w:sz w:val="28"/>
          <w:szCs w:val="28"/>
          <w:lang w:val="en-US" w:eastAsia="zh-CN" w:bidi="ar-SA"/>
        </w:rPr>
        <w:t>合作办学辐射成果</w:t>
      </w:r>
    </w:p>
    <w:p w14:paraId="4C4B8377">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leftChars="0" w:right="0" w:firstLine="560" w:firstLineChars="200"/>
        <w:contextualSpacing/>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本项目精准对接上海国际金融中心与科创中心战略定位，实现优质生源选拔与高质量人才输出的双向突破。第二批“3+1”交换项目学生（3人）已获美国新泽西理工学院学位，第三批交换项目学生（8人）顺利赴美学习。</w:t>
      </w:r>
    </w:p>
    <w:p w14:paraId="63FC651D">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leftChars="0" w:right="0" w:firstLine="560" w:firstLineChars="200"/>
        <w:contextualSpacing/>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2025年第二届届毕业生92人中，就业升学质量双优，其中：9人国内深造；43人获卡内基梅陇大学、纽约大学、伯明翰大学、约翰霍普金斯大学等世界顶尖学府offer；40人成功就业，单位涵盖金融科技头部企业与跨国机构。</w:t>
      </w:r>
    </w:p>
    <w:p w14:paraId="0D9D0AA0">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leftChars="0" w:right="0" w:firstLine="560" w:firstLineChars="200"/>
        <w:contextualSpacing/>
        <w:textAlignment w:val="auto"/>
        <w:rPr>
          <w:rFonts w:hint="eastAsia" w:ascii="宋体" w:hAnsi="宋体" w:eastAsia="宋体" w:cstheme="minorBidi"/>
          <w:kern w:val="2"/>
          <w:sz w:val="28"/>
          <w:szCs w:val="28"/>
          <w:lang w:val="en-US" w:eastAsia="zh-CN" w:bidi="ar-SA"/>
        </w:rPr>
      </w:pPr>
    </w:p>
    <w:p w14:paraId="4C161CF7">
      <w:pPr>
        <w:keepNext w:val="0"/>
        <w:keepLines w:val="0"/>
        <w:pageBreakBefore w:val="0"/>
        <w:widowControl w:val="0"/>
        <w:numPr>
          <w:ilvl w:val="0"/>
          <w:numId w:val="1"/>
        </w:numPr>
        <w:kinsoku/>
        <w:wordWrap/>
        <w:overflowPunct/>
        <w:topLinePunct w:val="0"/>
        <w:autoSpaceDE/>
        <w:autoSpaceDN/>
        <w:bidi w:val="0"/>
        <w:adjustRightInd w:val="0"/>
        <w:snapToGrid/>
        <w:spacing w:line="520" w:lineRule="atLeast"/>
        <w:ind w:left="0" w:leftChars="0" w:right="0" w:firstLine="562" w:firstLineChars="200"/>
        <w:contextualSpacing/>
        <w:textAlignment w:val="auto"/>
        <w:rPr>
          <w:rFonts w:hint="eastAsia" w:ascii="宋体" w:hAnsi="宋体" w:eastAsia="宋体" w:cstheme="minorBidi"/>
          <w:b/>
          <w:bCs/>
          <w:kern w:val="2"/>
          <w:sz w:val="28"/>
          <w:szCs w:val="28"/>
          <w:lang w:val="en-US" w:eastAsia="zh-CN" w:bidi="ar-SA"/>
        </w:rPr>
      </w:pPr>
      <w:r>
        <w:rPr>
          <w:rFonts w:hint="eastAsia" w:ascii="宋体" w:hAnsi="宋体" w:eastAsia="宋体" w:cstheme="minorBidi"/>
          <w:b/>
          <w:bCs/>
          <w:kern w:val="2"/>
          <w:sz w:val="28"/>
          <w:szCs w:val="28"/>
          <w:lang w:val="en-US" w:eastAsia="zh-CN" w:bidi="ar-SA"/>
        </w:rPr>
        <w:t>形势分析与应对措施</w:t>
      </w:r>
    </w:p>
    <w:p w14:paraId="7B99C505">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leftChars="0" w:right="0" w:firstLine="562" w:firstLineChars="200"/>
        <w:contextualSpacing/>
        <w:textAlignment w:val="auto"/>
        <w:rPr>
          <w:rFonts w:hint="eastAsia" w:ascii="宋体" w:hAnsi="宋体" w:eastAsia="宋体" w:cstheme="minorBidi"/>
          <w:b/>
          <w:bCs/>
          <w:kern w:val="2"/>
          <w:sz w:val="28"/>
          <w:szCs w:val="28"/>
          <w:lang w:val="en-US" w:eastAsia="zh-CN" w:bidi="ar-SA"/>
        </w:rPr>
      </w:pPr>
      <w:r>
        <w:rPr>
          <w:rFonts w:hint="eastAsia" w:ascii="宋体" w:hAnsi="宋体" w:eastAsia="宋体" w:cstheme="minorBidi"/>
          <w:b/>
          <w:bCs/>
          <w:kern w:val="2"/>
          <w:sz w:val="28"/>
          <w:szCs w:val="28"/>
          <w:lang w:val="en-US" w:eastAsia="zh-CN" w:bidi="ar-SA"/>
        </w:rPr>
        <w:t>（一）形势分析</w:t>
      </w:r>
    </w:p>
    <w:p w14:paraId="54F00EA5">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leftChars="0" w:right="0" w:firstLine="560" w:firstLineChars="200"/>
        <w:contextualSpacing/>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上海国际金融中心与科创中心建设持续推进，金融科技行业人才需求旺盛，为项目人才培养与成果转化提供广阔市场空间；全球金融科技领域技术迭代加速，国际学术交流与行业合作潜力深厚，有利于项目深化产学研融合、拓展国际资源。此外，首届毕业生高质量就业升学的成效，为项目积累了良好口碑，为后续办学品牌建设奠定基础。</w:t>
      </w:r>
    </w:p>
    <w:p w14:paraId="6DE83009">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leftChars="0" w:right="0" w:firstLine="560" w:firstLineChars="200"/>
        <w:contextualSpacing/>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受中美关系影响，合作方新泽西理工学院单方面终止合作后，项目面临外方资源衔接、国际课程持续供给等压力；金融科技行业对人才的跨学科能力、技术应用能力要求不断提升，需持续优化课程体系与实践教学模式；行业竞争日趋激烈，如何在暂停招生期间稳定办学质量、保留核心师资与教学资源，成为项目可持续发展的关键课题。</w:t>
      </w:r>
    </w:p>
    <w:p w14:paraId="6A44704B">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leftChars="0" w:right="0" w:firstLine="562" w:firstLineChars="200"/>
        <w:contextualSpacing/>
        <w:textAlignment w:val="auto"/>
        <w:rPr>
          <w:rFonts w:hint="eastAsia" w:ascii="宋体" w:hAnsi="宋体" w:eastAsia="宋体" w:cstheme="minorBidi"/>
          <w:b/>
          <w:bCs/>
          <w:kern w:val="2"/>
          <w:sz w:val="28"/>
          <w:szCs w:val="28"/>
          <w:lang w:val="en-US" w:eastAsia="zh-CN" w:bidi="ar-SA"/>
        </w:rPr>
      </w:pPr>
      <w:r>
        <w:rPr>
          <w:rFonts w:hint="eastAsia" w:ascii="宋体" w:hAnsi="宋体" w:eastAsia="宋体" w:cstheme="minorBidi"/>
          <w:b/>
          <w:bCs/>
          <w:kern w:val="2"/>
          <w:sz w:val="28"/>
          <w:szCs w:val="28"/>
          <w:lang w:val="en-US" w:eastAsia="zh-CN" w:bidi="ar-SA"/>
        </w:rPr>
        <w:t>（二）应对措施</w:t>
      </w:r>
    </w:p>
    <w:p w14:paraId="21B4905E">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leftChars="0" w:right="0" w:firstLine="560" w:firstLineChars="200"/>
        <w:contextualSpacing/>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1. 稳固办学基础</w:t>
      </w:r>
    </w:p>
    <w:p w14:paraId="158D09D1">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leftChars="0" w:right="0" w:firstLine="560" w:firstLineChars="200"/>
        <w:contextualSpacing/>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持续保障已入学学生培养按原计划推进，优化 “外方线上主讲 + 中方线下跟课” 模式，整合校内优质师资与行业资源，弥补外方合作终止后的教学资源缺口。完善课程迭代机制，紧跟行业前沿动态，更新课程内容与实践项目，确保人才培养与行业需求精准对接。</w:t>
      </w:r>
    </w:p>
    <w:p w14:paraId="132FA849">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leftChars="0" w:right="0" w:firstLine="560" w:firstLineChars="200"/>
        <w:contextualSpacing/>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2. 拓展合作渠道</w:t>
      </w:r>
    </w:p>
    <w:p w14:paraId="0374AE08">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leftChars="0" w:right="0" w:firstLine="560" w:firstLineChars="200"/>
        <w:contextualSpacing/>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依托上海金融科技研究中心等智库平台，深化与国内外优质高校、金融科技企业的合作，探索新的中外合作办学路径或产教融合新模式。加强与已建立合作关系的中国银行、兴业证券等单位的联动，拓展实训基地与就业渠道，丰富育人资源。</w:t>
      </w:r>
    </w:p>
    <w:p w14:paraId="5C9F3D2A">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leftChars="0" w:right="0" w:firstLine="560" w:firstLineChars="200"/>
        <w:contextualSpacing/>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3. 强化内涵建设</w:t>
      </w:r>
    </w:p>
    <w:p w14:paraId="60097DCE">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leftChars="0" w:right="0" w:firstLine="560" w:firstLineChars="200"/>
        <w:contextualSpacing/>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持续推进 “双语双师双能” 型师资队伍建设，通过学术交流、产学研践习等方式提升教师专业素养；深化课程思政与 “三全育人” 体系建设，巩固立德树人成效。优化教学质量监控双轨制，完善闭环改进机制，确保办学质量稳步提升。</w:t>
      </w:r>
    </w:p>
    <w:p w14:paraId="347D360B">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leftChars="0" w:right="0" w:firstLine="560" w:firstLineChars="200"/>
        <w:contextualSpacing/>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4. 谋划长远发展</w:t>
      </w:r>
    </w:p>
    <w:p w14:paraId="5B0A04E2">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leftChars="0" w:right="0" w:firstLine="560" w:firstLineChars="200"/>
        <w:contextualSpacing/>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结合行业趋势与区域战略需求，开展人才培养方案专项调研，明确项目未来发展定位。加强办学成果宣传与品牌建设，依托毕业生优质发展案例提升项目影响力，为后续恢复招生、扩大办学规模创造有利条件。</w:t>
      </w:r>
    </w:p>
    <w:p w14:paraId="76D7CF88">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leftChars="0" w:right="0" w:firstLine="560" w:firstLineChars="200"/>
        <w:contextualSpacing/>
        <w:textAlignment w:val="auto"/>
        <w:rPr>
          <w:rFonts w:hint="default" w:ascii="宋体" w:hAnsi="宋体" w:eastAsia="宋体" w:cstheme="minorBidi"/>
          <w:kern w:val="2"/>
          <w:sz w:val="28"/>
          <w:szCs w:val="28"/>
          <w:lang w:val="en-US" w:eastAsia="zh-CN" w:bidi="ar-SA"/>
        </w:rPr>
      </w:pPr>
    </w:p>
    <w:p w14:paraId="45C04EF9">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leftChars="0" w:right="0" w:firstLine="560" w:firstLineChars="200"/>
        <w:contextualSpacing/>
        <w:textAlignment w:val="auto"/>
        <w:rPr>
          <w:rFonts w:hint="default" w:ascii="宋体" w:hAnsi="宋体" w:eastAsia="宋体" w:cstheme="minorBidi"/>
          <w:kern w:val="2"/>
          <w:sz w:val="28"/>
          <w:szCs w:val="28"/>
          <w:lang w:val="en-US" w:eastAsia="zh-CN" w:bidi="ar-SA"/>
        </w:rPr>
      </w:pPr>
    </w:p>
    <w:p w14:paraId="62A3171C">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leftChars="0" w:right="0" w:firstLine="560" w:firstLineChars="200"/>
        <w:contextualSpacing/>
        <w:textAlignment w:val="auto"/>
        <w:rPr>
          <w:rFonts w:hint="default" w:ascii="宋体" w:hAnsi="宋体" w:eastAsia="宋体" w:cstheme="minorBidi"/>
          <w:kern w:val="2"/>
          <w:sz w:val="28"/>
          <w:szCs w:val="28"/>
          <w:lang w:val="en-US" w:eastAsia="zh-CN" w:bidi="ar-SA"/>
        </w:rPr>
      </w:pPr>
    </w:p>
    <w:p w14:paraId="467C47B8">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right="0" w:firstLine="560" w:firstLineChars="200"/>
        <w:contextualSpacing/>
        <w:jc w:val="both"/>
        <w:textAlignment w:val="auto"/>
        <w:rPr>
          <w:rFonts w:hint="default" w:ascii="宋体" w:hAnsi="宋体" w:eastAsia="宋体" w:cstheme="minorBidi"/>
          <w:kern w:val="2"/>
          <w:sz w:val="28"/>
          <w:szCs w:val="28"/>
          <w:lang w:val="en-US" w:eastAsia="zh-CN" w:bidi="ar-SA"/>
        </w:rPr>
      </w:pPr>
    </w:p>
    <w:p w14:paraId="411BBA3C">
      <w:pPr>
        <w:keepNext w:val="0"/>
        <w:keepLines w:val="0"/>
        <w:pageBreakBefore w:val="0"/>
        <w:widowControl w:val="0"/>
        <w:kinsoku/>
        <w:wordWrap/>
        <w:overflowPunct/>
        <w:topLinePunct w:val="0"/>
        <w:autoSpaceDE/>
        <w:autoSpaceDN/>
        <w:bidi w:val="0"/>
        <w:adjustRightInd w:val="0"/>
        <w:snapToGrid/>
        <w:spacing w:line="520" w:lineRule="atLeast"/>
        <w:ind w:left="0" w:firstLine="560" w:firstLineChars="200"/>
        <w:contextualSpacing/>
        <w:textAlignment w:val="auto"/>
        <w:rPr>
          <w:rFonts w:hint="eastAsia" w:ascii="宋体" w:hAnsi="宋体" w:eastAsia="宋体"/>
          <w:sz w:val="28"/>
          <w:szCs w:val="28"/>
        </w:rPr>
      </w:pPr>
    </w:p>
    <w:p w14:paraId="009B1B69">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leftChars="0" w:firstLine="562" w:firstLineChars="200"/>
        <w:contextualSpacing/>
        <w:textAlignment w:val="auto"/>
        <w:rPr>
          <w:rFonts w:hint="default" w:ascii="宋体" w:hAnsi="宋体" w:eastAsia="宋体"/>
          <w:b/>
          <w:bCs/>
          <w:sz w:val="28"/>
          <w:szCs w:val="28"/>
          <w:lang w:val="en-US" w:eastAsia="zh-CN"/>
        </w:rPr>
      </w:pPr>
    </w:p>
    <w:p w14:paraId="7974A435">
      <w:pPr>
        <w:keepNext w:val="0"/>
        <w:keepLines w:val="0"/>
        <w:pageBreakBefore w:val="0"/>
        <w:widowControl w:val="0"/>
        <w:numPr>
          <w:ilvl w:val="0"/>
          <w:numId w:val="0"/>
        </w:numPr>
        <w:kinsoku/>
        <w:wordWrap/>
        <w:overflowPunct/>
        <w:topLinePunct w:val="0"/>
        <w:autoSpaceDE/>
        <w:autoSpaceDN/>
        <w:bidi w:val="0"/>
        <w:adjustRightInd w:val="0"/>
        <w:snapToGrid/>
        <w:spacing w:line="520" w:lineRule="atLeast"/>
        <w:ind w:left="0" w:leftChars="0" w:firstLine="280" w:firstLineChars="100"/>
        <w:contextualSpacing/>
        <w:textAlignment w:val="auto"/>
        <w:rPr>
          <w:rFonts w:hint="default" w:ascii="宋体" w:hAnsi="宋体" w:eastAsia="宋体"/>
          <w:sz w:val="28"/>
          <w:szCs w:val="28"/>
          <w:lang w:val="en-US" w:eastAsia="zh-CN"/>
        </w:rPr>
      </w:pPr>
    </w:p>
    <w:p w14:paraId="230A14C6">
      <w:pPr>
        <w:numPr>
          <w:ilvl w:val="0"/>
          <w:numId w:val="0"/>
        </w:numPr>
        <w:adjustRightInd w:val="0"/>
        <w:spacing w:line="560" w:lineRule="exact"/>
        <w:ind w:leftChars="0"/>
        <w:contextualSpacing/>
        <w:rPr>
          <w:rFonts w:hint="eastAsia" w:ascii="宋体" w:hAnsi="宋体" w:eastAsia="宋体"/>
          <w:b/>
          <w:bCs/>
          <w:sz w:val="28"/>
          <w:szCs w:val="28"/>
        </w:rPr>
      </w:pPr>
    </w:p>
    <w:p w14:paraId="6D499BFE">
      <w:pPr>
        <w:numPr>
          <w:ilvl w:val="0"/>
          <w:numId w:val="0"/>
        </w:numPr>
        <w:ind w:leftChars="0"/>
        <w:jc w:val="both"/>
        <w:rPr>
          <w:rFonts w:hint="default"/>
          <w:b/>
          <w:bCs/>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ED042D"/>
    <w:multiLevelType w:val="singleLevel"/>
    <w:tmpl w:val="08ED042D"/>
    <w:lvl w:ilvl="0" w:tentative="0">
      <w:start w:val="2"/>
      <w:numFmt w:val="chineseCounting"/>
      <w:suff w:val="nothing"/>
      <w:lvlText w:val="（%1）"/>
      <w:lvlJc w:val="left"/>
      <w:pPr>
        <w:ind w:left="280" w:leftChars="0" w:firstLine="0" w:firstLineChars="0"/>
      </w:pPr>
      <w:rPr>
        <w:rFonts w:hint="eastAsia"/>
      </w:rPr>
    </w:lvl>
  </w:abstractNum>
  <w:abstractNum w:abstractNumId="1">
    <w:nsid w:val="2A68AF5D"/>
    <w:multiLevelType w:val="singleLevel"/>
    <w:tmpl w:val="2A68AF5D"/>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05191A"/>
    <w:rsid w:val="02541B61"/>
    <w:rsid w:val="036A712A"/>
    <w:rsid w:val="0A2574B3"/>
    <w:rsid w:val="0D0C1474"/>
    <w:rsid w:val="10355E7D"/>
    <w:rsid w:val="10D601E5"/>
    <w:rsid w:val="12130FC5"/>
    <w:rsid w:val="12FC46B3"/>
    <w:rsid w:val="15A22C1A"/>
    <w:rsid w:val="16FC4BC3"/>
    <w:rsid w:val="19BC1F42"/>
    <w:rsid w:val="1AC7047C"/>
    <w:rsid w:val="1B897A34"/>
    <w:rsid w:val="1C52438D"/>
    <w:rsid w:val="1CA72AA1"/>
    <w:rsid w:val="1D816D60"/>
    <w:rsid w:val="21DF3764"/>
    <w:rsid w:val="240115C5"/>
    <w:rsid w:val="27962024"/>
    <w:rsid w:val="2B165956"/>
    <w:rsid w:val="2B82123D"/>
    <w:rsid w:val="2C2B1183"/>
    <w:rsid w:val="2DEF7B6A"/>
    <w:rsid w:val="30915A7F"/>
    <w:rsid w:val="320C1BA8"/>
    <w:rsid w:val="33264BA4"/>
    <w:rsid w:val="3344502A"/>
    <w:rsid w:val="34CC4B82"/>
    <w:rsid w:val="3B27401A"/>
    <w:rsid w:val="3CD91462"/>
    <w:rsid w:val="3E542340"/>
    <w:rsid w:val="3F043BAC"/>
    <w:rsid w:val="3FA81600"/>
    <w:rsid w:val="400D1324"/>
    <w:rsid w:val="416B00A2"/>
    <w:rsid w:val="432D21C6"/>
    <w:rsid w:val="444D481C"/>
    <w:rsid w:val="47D17961"/>
    <w:rsid w:val="4983062C"/>
    <w:rsid w:val="4F0E67C1"/>
    <w:rsid w:val="527C37E2"/>
    <w:rsid w:val="528F4686"/>
    <w:rsid w:val="53E73A84"/>
    <w:rsid w:val="552733C1"/>
    <w:rsid w:val="55B915A0"/>
    <w:rsid w:val="571B4AF5"/>
    <w:rsid w:val="571D387C"/>
    <w:rsid w:val="57D72CAA"/>
    <w:rsid w:val="59B05DB3"/>
    <w:rsid w:val="5B697EEF"/>
    <w:rsid w:val="5C067000"/>
    <w:rsid w:val="5CC11316"/>
    <w:rsid w:val="5E612863"/>
    <w:rsid w:val="61112140"/>
    <w:rsid w:val="612D3C7B"/>
    <w:rsid w:val="62C70D09"/>
    <w:rsid w:val="62D23905"/>
    <w:rsid w:val="6BDF5356"/>
    <w:rsid w:val="6C6509E5"/>
    <w:rsid w:val="6C953733"/>
    <w:rsid w:val="6CEF1588"/>
    <w:rsid w:val="6F113E47"/>
    <w:rsid w:val="6FF46638"/>
    <w:rsid w:val="700A1994"/>
    <w:rsid w:val="70105F68"/>
    <w:rsid w:val="72CE25E9"/>
    <w:rsid w:val="73302B34"/>
    <w:rsid w:val="763151F9"/>
    <w:rsid w:val="775C1463"/>
    <w:rsid w:val="79D02B32"/>
    <w:rsid w:val="7A8D259F"/>
    <w:rsid w:val="7C962D88"/>
    <w:rsid w:val="7CF566CD"/>
    <w:rsid w:val="7D0519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Table Text"/>
    <w:basedOn w:val="1"/>
    <w:semiHidden/>
    <w:qFormat/>
    <w:uiPriority w:val="0"/>
    <w:rPr>
      <w:rFonts w:ascii="宋体" w:hAnsi="宋体" w:eastAsia="宋体" w:cs="宋体"/>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6555</Words>
  <Characters>6713</Characters>
  <Lines>0</Lines>
  <Paragraphs>0</Paragraphs>
  <TotalTime>25</TotalTime>
  <ScaleCrop>false</ScaleCrop>
  <LinksUpToDate>false</LinksUpToDate>
  <CharactersWithSpaces>6733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2025-12-10T02:21:00Z</dcterms:created>
  <dc:creator>User</dc:creator>
  <cp:lastModifiedBy>刘晓宇(20190015)</cp:lastModifiedBy>
  <dcterms:modified xsi:type="dcterms:W3CDTF">2026-09-23T05:42:21Z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DE5471BB8B5442E0B4BD69DF0717A0C9_13</vt:lpwstr>
  </property>
  <property fmtid="{D5CDD505-2E9C-101B-9397-08002B2CF9AE}" pid="4" name="KSOTemplateDocerSaveRecord">
    <vt:lpwstr>eyJoZGlkIjoiYjVjMzQ3NDU3ODRlNWMzZGFlNWIyY2M0MWJjM2FkMjQiLCJ1c2VySWQiOiI2ODU5NDQyNjAifQ==</vt:lpwstr>
  </property>
</Properties>
</file>