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DB2D9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长三角金融科技研究院2026年专项课题研究指南</w:t>
      </w:r>
    </w:p>
    <w:p w14:paraId="68BB95A3"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课题一</w:t>
      </w:r>
    </w:p>
    <w:p w14:paraId="70D12DC2"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《商业银行对公信贷客户经理能力标准化培养路径比较研究》</w:t>
      </w:r>
    </w:p>
    <w:p w14:paraId="6699D618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default"/>
          <w:sz w:val="28"/>
          <w:szCs w:val="28"/>
          <w:lang w:val="en-US" w:eastAsia="zh-CN"/>
        </w:rPr>
        <w:t>、课题背景</w:t>
      </w:r>
      <w:r>
        <w:rPr>
          <w:rFonts w:hint="eastAsia"/>
          <w:sz w:val="28"/>
          <w:szCs w:val="28"/>
          <w:lang w:val="en-US" w:eastAsia="zh-CN"/>
        </w:rPr>
        <w:t>：</w:t>
      </w:r>
      <w:r>
        <w:rPr>
          <w:rFonts w:hint="default"/>
          <w:sz w:val="28"/>
          <w:szCs w:val="28"/>
          <w:lang w:val="en-US" w:eastAsia="zh-CN"/>
        </w:rPr>
        <w:t>国内商业银行对公信贷条线人才培养长期依赖"师带徒"和碎片化内训，不同银行、不同区域的能力标准与培养路径差异显著，缺乏系统化的比较研究与最佳实践提炼。建立标准化培养体系已成为行业共识，但具体路径选择仍需实证支撑。</w:t>
      </w:r>
    </w:p>
    <w:p w14:paraId="005100FD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default"/>
          <w:sz w:val="28"/>
          <w:szCs w:val="28"/>
          <w:lang w:val="en-US" w:eastAsia="zh-CN"/>
        </w:rPr>
        <w:t>、课题目的</w:t>
      </w:r>
      <w:r>
        <w:rPr>
          <w:rFonts w:hint="eastAsia"/>
          <w:sz w:val="28"/>
          <w:szCs w:val="28"/>
          <w:lang w:val="en-US" w:eastAsia="zh-CN"/>
        </w:rPr>
        <w:t>：</w:t>
      </w:r>
      <w:r>
        <w:rPr>
          <w:rFonts w:hint="default"/>
          <w:sz w:val="28"/>
          <w:szCs w:val="28"/>
          <w:lang w:val="en-US" w:eastAsia="zh-CN"/>
        </w:rPr>
        <w:t>系统梳理国内主要商业银行对公信贷客户经理现有培养模式，提炼各类路径的特征与适用条件</w:t>
      </w:r>
      <w:r>
        <w:rPr>
          <w:rFonts w:hint="eastAsia"/>
          <w:sz w:val="28"/>
          <w:szCs w:val="28"/>
          <w:lang w:val="en-US" w:eastAsia="zh-CN"/>
        </w:rPr>
        <w:t>，</w:t>
      </w:r>
      <w:r>
        <w:rPr>
          <w:rFonts w:hint="default"/>
          <w:sz w:val="28"/>
          <w:szCs w:val="28"/>
          <w:lang w:val="en-US" w:eastAsia="zh-CN"/>
        </w:rPr>
        <w:t>构建可比较的能力评估维度，量化不同培养路径的效果差异</w:t>
      </w:r>
      <w:r>
        <w:rPr>
          <w:rFonts w:hint="eastAsia"/>
          <w:sz w:val="28"/>
          <w:szCs w:val="28"/>
          <w:lang w:val="en-US" w:eastAsia="zh-CN"/>
        </w:rPr>
        <w:t>，</w:t>
      </w:r>
      <w:r>
        <w:rPr>
          <w:rFonts w:hint="default"/>
          <w:sz w:val="28"/>
          <w:szCs w:val="28"/>
          <w:lang w:val="en-US" w:eastAsia="zh-CN"/>
        </w:rPr>
        <w:t>为建立行业通用的标准化培养体系提供决策参考</w:t>
      </w:r>
      <w:r>
        <w:rPr>
          <w:rFonts w:hint="eastAsia"/>
          <w:sz w:val="28"/>
          <w:szCs w:val="28"/>
          <w:lang w:val="en-US" w:eastAsia="zh-CN"/>
        </w:rPr>
        <w:t>。</w:t>
      </w:r>
    </w:p>
    <w:p w14:paraId="52B0D205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default"/>
          <w:sz w:val="28"/>
          <w:szCs w:val="28"/>
          <w:lang w:val="en-US" w:eastAsia="zh-CN"/>
        </w:rPr>
        <w:t>、主要研究内容</w:t>
      </w:r>
      <w:r>
        <w:rPr>
          <w:rFonts w:hint="eastAsia"/>
          <w:sz w:val="28"/>
          <w:szCs w:val="28"/>
          <w:lang w:val="en-US" w:eastAsia="zh-CN"/>
        </w:rPr>
        <w:t>：</w:t>
      </w:r>
      <w:r>
        <w:rPr>
          <w:rFonts w:hint="default"/>
          <w:sz w:val="28"/>
          <w:szCs w:val="28"/>
          <w:lang w:val="en-US" w:eastAsia="zh-CN"/>
        </w:rPr>
        <w:t>国内主要商业银行对公信贷客户经理培养模式梳理（大行内训体系、中小行实践、外部认证等）</w:t>
      </w:r>
      <w:r>
        <w:rPr>
          <w:rFonts w:hint="eastAsia"/>
          <w:sz w:val="28"/>
          <w:szCs w:val="28"/>
          <w:lang w:val="en-US" w:eastAsia="zh-CN"/>
        </w:rPr>
        <w:t>；</w:t>
      </w:r>
      <w:r>
        <w:rPr>
          <w:rFonts w:hint="default"/>
          <w:sz w:val="28"/>
          <w:szCs w:val="28"/>
          <w:lang w:val="en-US" w:eastAsia="zh-CN"/>
        </w:rPr>
        <w:t>对公信贷客户经理岗位核心能力模型研究（结合监管要求与业务实践）</w:t>
      </w:r>
      <w:r>
        <w:rPr>
          <w:rFonts w:hint="eastAsia"/>
          <w:sz w:val="28"/>
          <w:szCs w:val="28"/>
          <w:lang w:val="en-US" w:eastAsia="zh-CN"/>
        </w:rPr>
        <w:t>；</w:t>
      </w:r>
      <w:r>
        <w:rPr>
          <w:rFonts w:hint="default"/>
          <w:sz w:val="28"/>
          <w:szCs w:val="28"/>
          <w:lang w:val="en-US" w:eastAsia="zh-CN"/>
        </w:rPr>
        <w:t>不同培养路径的效果比较与适用性分析</w:t>
      </w:r>
      <w:r>
        <w:rPr>
          <w:rFonts w:hint="eastAsia"/>
          <w:sz w:val="28"/>
          <w:szCs w:val="28"/>
          <w:lang w:val="en-US" w:eastAsia="zh-CN"/>
        </w:rPr>
        <w:t>；</w:t>
      </w:r>
      <w:r>
        <w:rPr>
          <w:rFonts w:hint="default"/>
          <w:sz w:val="28"/>
          <w:szCs w:val="28"/>
          <w:lang w:val="en-US" w:eastAsia="zh-CN"/>
        </w:rPr>
        <w:t>标准化培养路径的设计建议与实施要点</w:t>
      </w:r>
      <w:r>
        <w:rPr>
          <w:rFonts w:hint="eastAsia"/>
          <w:sz w:val="28"/>
          <w:szCs w:val="28"/>
          <w:lang w:val="en-US" w:eastAsia="zh-CN"/>
        </w:rPr>
        <w:t>。</w:t>
      </w:r>
    </w:p>
    <w:p w14:paraId="1947F549">
      <w:pPr>
        <w:rPr>
          <w:rFonts w:hint="default"/>
          <w:b/>
          <w:bCs/>
          <w:sz w:val="28"/>
          <w:szCs w:val="28"/>
          <w:lang w:val="en-US" w:eastAsia="zh-CN"/>
        </w:rPr>
      </w:pPr>
      <w:bookmarkStart w:id="0" w:name="_GoBack"/>
      <w:bookmarkEnd w:id="0"/>
    </w:p>
    <w:p w14:paraId="46E94655"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课题二</w:t>
      </w:r>
    </w:p>
    <w:p w14:paraId="7F951445"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《长三角产业链供应链风险穿透</w:t>
      </w:r>
      <w:r>
        <w:rPr>
          <w:rFonts w:hint="eastAsia"/>
          <w:b/>
          <w:bCs/>
          <w:sz w:val="28"/>
          <w:szCs w:val="28"/>
          <w:lang w:val="en-US" w:eastAsia="zh-CN"/>
        </w:rPr>
        <w:t>监测</w:t>
      </w:r>
      <w:r>
        <w:rPr>
          <w:rFonts w:hint="default"/>
          <w:b/>
          <w:bCs/>
          <w:sz w:val="28"/>
          <w:szCs w:val="28"/>
          <w:lang w:val="en-US" w:eastAsia="zh-CN"/>
        </w:rPr>
        <w:t>与数字化金融避险策略研究》</w:t>
      </w:r>
    </w:p>
    <w:p w14:paraId="461825FC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default"/>
          <w:sz w:val="28"/>
          <w:szCs w:val="28"/>
          <w:lang w:val="en-US" w:eastAsia="zh-CN"/>
        </w:rPr>
        <w:t>、课题背景</w:t>
      </w:r>
      <w:r>
        <w:rPr>
          <w:rFonts w:hint="eastAsia"/>
          <w:sz w:val="28"/>
          <w:szCs w:val="28"/>
          <w:lang w:val="en-US" w:eastAsia="zh-CN"/>
        </w:rPr>
        <w:t>：</w:t>
      </w:r>
      <w:r>
        <w:rPr>
          <w:rFonts w:hint="default"/>
          <w:sz w:val="28"/>
          <w:szCs w:val="28"/>
          <w:lang w:val="en-US" w:eastAsia="zh-CN"/>
        </w:rPr>
        <w:t>长三角产业链供应链体系复杂、关联度高，单一节点风险易通过上下游快速传导，传统风险监测手段难以实现穿透式管理。N链指数保险、数字供应链保理等金融创新工具为风险应对提供了新思路，但尚未形成与风险穿透监测相衔接的系统性避险策略。</w:t>
      </w:r>
    </w:p>
    <w:p w14:paraId="0F18F416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default"/>
          <w:sz w:val="28"/>
          <w:szCs w:val="28"/>
          <w:lang w:val="en-US" w:eastAsia="zh-CN"/>
        </w:rPr>
        <w:t>、课题目的</w:t>
      </w:r>
      <w:r>
        <w:rPr>
          <w:rFonts w:hint="eastAsia"/>
          <w:sz w:val="28"/>
          <w:szCs w:val="28"/>
          <w:lang w:val="en-US" w:eastAsia="zh-CN"/>
        </w:rPr>
        <w:t>：</w:t>
      </w:r>
      <w:r>
        <w:rPr>
          <w:rFonts w:hint="default"/>
          <w:sz w:val="28"/>
          <w:szCs w:val="28"/>
          <w:lang w:val="en-US" w:eastAsia="zh-CN"/>
        </w:rPr>
        <w:t>构建产业链供应链风险穿透监测框架，提升风险识别与预警能力</w:t>
      </w:r>
      <w:r>
        <w:rPr>
          <w:rFonts w:hint="eastAsia"/>
          <w:sz w:val="28"/>
          <w:szCs w:val="28"/>
          <w:lang w:val="en-US" w:eastAsia="zh-CN"/>
        </w:rPr>
        <w:t>；</w:t>
      </w:r>
      <w:r>
        <w:rPr>
          <w:rFonts w:hint="default"/>
          <w:sz w:val="28"/>
          <w:szCs w:val="28"/>
          <w:lang w:val="en-US" w:eastAsia="zh-CN"/>
        </w:rPr>
        <w:t>探索N链指数保险、数字供应链保理等工具的风险应对模式</w:t>
      </w:r>
      <w:r>
        <w:rPr>
          <w:rFonts w:hint="eastAsia"/>
          <w:sz w:val="28"/>
          <w:szCs w:val="28"/>
          <w:lang w:val="en-US" w:eastAsia="zh-CN"/>
        </w:rPr>
        <w:t>，</w:t>
      </w:r>
      <w:r>
        <w:rPr>
          <w:rFonts w:hint="default"/>
          <w:sz w:val="28"/>
          <w:szCs w:val="28"/>
          <w:lang w:val="en-US" w:eastAsia="zh-CN"/>
        </w:rPr>
        <w:t>形成与风险穿透监测相衔接的数字化金融避险策略，为提升长三角产业链供应链安全水平提供决策参考</w:t>
      </w:r>
      <w:r>
        <w:rPr>
          <w:rFonts w:hint="eastAsia"/>
          <w:sz w:val="28"/>
          <w:szCs w:val="28"/>
          <w:lang w:val="en-US" w:eastAsia="zh-CN"/>
        </w:rPr>
        <w:t>。</w:t>
      </w:r>
    </w:p>
    <w:p w14:paraId="7804551B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default"/>
          <w:sz w:val="28"/>
          <w:szCs w:val="28"/>
          <w:lang w:val="en-US" w:eastAsia="zh-CN"/>
        </w:rPr>
        <w:t>、主要研究内容</w:t>
      </w:r>
      <w:r>
        <w:rPr>
          <w:rFonts w:hint="eastAsia"/>
          <w:sz w:val="28"/>
          <w:szCs w:val="28"/>
          <w:lang w:val="en-US" w:eastAsia="zh-CN"/>
        </w:rPr>
        <w:t>：</w:t>
      </w:r>
      <w:r>
        <w:rPr>
          <w:rFonts w:hint="default"/>
          <w:sz w:val="28"/>
          <w:szCs w:val="28"/>
          <w:lang w:val="en-US" w:eastAsia="zh-CN"/>
        </w:rPr>
        <w:t>产业链供应链风险穿透监测框架设计（数据采集、风险识别、传导路径分析）</w:t>
      </w:r>
      <w:r>
        <w:rPr>
          <w:rFonts w:hint="eastAsia"/>
          <w:sz w:val="28"/>
          <w:szCs w:val="28"/>
          <w:lang w:val="en-US" w:eastAsia="zh-CN"/>
        </w:rPr>
        <w:t>；</w:t>
      </w:r>
      <w:r>
        <w:rPr>
          <w:rFonts w:hint="default"/>
          <w:sz w:val="28"/>
          <w:szCs w:val="28"/>
          <w:lang w:val="en-US" w:eastAsia="zh-CN"/>
        </w:rPr>
        <w:t>风险分散、转移、缓释等数字化金融避险策略研究</w:t>
      </w:r>
      <w:r>
        <w:rPr>
          <w:rFonts w:hint="eastAsia"/>
          <w:sz w:val="28"/>
          <w:szCs w:val="28"/>
          <w:lang w:val="en-US" w:eastAsia="zh-CN"/>
        </w:rPr>
        <w:t>；</w:t>
      </w:r>
      <w:r>
        <w:rPr>
          <w:rFonts w:hint="default"/>
          <w:sz w:val="28"/>
          <w:szCs w:val="28"/>
          <w:lang w:val="en-US" w:eastAsia="zh-CN"/>
        </w:rPr>
        <w:t>N链指数保险、数字供应链保理等金融创新工具的应用模式</w:t>
      </w:r>
      <w:r>
        <w:rPr>
          <w:rFonts w:hint="eastAsia"/>
          <w:sz w:val="28"/>
          <w:szCs w:val="28"/>
          <w:lang w:val="en-US" w:eastAsia="zh-CN"/>
        </w:rPr>
        <w:t>；</w:t>
      </w:r>
      <w:r>
        <w:rPr>
          <w:rFonts w:hint="default"/>
          <w:sz w:val="28"/>
          <w:szCs w:val="28"/>
          <w:lang w:val="en-US" w:eastAsia="zh-CN"/>
        </w:rPr>
        <w:t>长三角跨区域风险监测与数字化金融避险的协同联动机制与对策</w:t>
      </w:r>
      <w:r>
        <w:rPr>
          <w:rFonts w:hint="eastAsia"/>
          <w:sz w:val="28"/>
          <w:szCs w:val="28"/>
          <w:lang w:val="en-US" w:eastAsia="zh-CN"/>
        </w:rPr>
        <w:t>。</w:t>
      </w:r>
    </w:p>
    <w:p w14:paraId="58223356">
      <w:pPr>
        <w:rPr>
          <w:rFonts w:hint="default"/>
          <w:sz w:val="28"/>
          <w:szCs w:val="28"/>
          <w:lang w:val="en-US" w:eastAsia="zh-CN"/>
        </w:rPr>
      </w:pPr>
    </w:p>
    <w:p w14:paraId="545D19BB"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课题三</w:t>
      </w:r>
    </w:p>
    <w:p w14:paraId="19DE3493"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《人工智能与金融智能体在区域产业中的应用场景研究》</w:t>
      </w:r>
    </w:p>
    <w:p w14:paraId="1031B716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default"/>
          <w:sz w:val="28"/>
          <w:szCs w:val="28"/>
          <w:lang w:val="en-US" w:eastAsia="zh-CN"/>
        </w:rPr>
        <w:t>、课题背景</w:t>
      </w:r>
      <w:r>
        <w:rPr>
          <w:rFonts w:hint="eastAsia"/>
          <w:sz w:val="28"/>
          <w:szCs w:val="28"/>
          <w:lang w:val="en-US" w:eastAsia="zh-CN"/>
        </w:rPr>
        <w:t>：</w:t>
      </w:r>
      <w:r>
        <w:rPr>
          <w:rFonts w:hint="default"/>
          <w:sz w:val="28"/>
          <w:szCs w:val="28"/>
          <w:lang w:val="en-US" w:eastAsia="zh-CN"/>
        </w:rPr>
        <w:t>AI大模型与金融智能体技术快速发展，在产业分析、客户服务、风险预警等金融场景中展现出巨大潜力。但在区域产业金融的实际落地中，典型应用场景尚不清晰，技术可行性与业务价值的匹配度有待验证。</w:t>
      </w:r>
    </w:p>
    <w:p w14:paraId="56BE9E67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default"/>
          <w:sz w:val="28"/>
          <w:szCs w:val="28"/>
          <w:lang w:val="en-US" w:eastAsia="zh-CN"/>
        </w:rPr>
        <w:t>、课题目的</w:t>
      </w:r>
      <w:r>
        <w:rPr>
          <w:rFonts w:hint="eastAsia"/>
          <w:sz w:val="28"/>
          <w:szCs w:val="28"/>
          <w:lang w:val="en-US" w:eastAsia="zh-CN"/>
        </w:rPr>
        <w:t>：</w:t>
      </w:r>
      <w:r>
        <w:rPr>
          <w:rFonts w:hint="default"/>
          <w:sz w:val="28"/>
          <w:szCs w:val="28"/>
          <w:lang w:val="en-US" w:eastAsia="zh-CN"/>
        </w:rPr>
        <w:t>梳理人工智能与金融智能体在区域产业金融中的典型应用场景</w:t>
      </w:r>
      <w:r>
        <w:rPr>
          <w:rFonts w:hint="eastAsia"/>
          <w:sz w:val="28"/>
          <w:szCs w:val="28"/>
          <w:lang w:val="en-US" w:eastAsia="zh-CN"/>
        </w:rPr>
        <w:t>，</w:t>
      </w:r>
      <w:r>
        <w:rPr>
          <w:rFonts w:hint="default"/>
          <w:sz w:val="28"/>
          <w:szCs w:val="28"/>
          <w:lang w:val="en-US" w:eastAsia="zh-CN"/>
        </w:rPr>
        <w:t>评估各场景的落地可行性、效率提升效果与潜在风险</w:t>
      </w:r>
      <w:r>
        <w:rPr>
          <w:rFonts w:hint="eastAsia"/>
          <w:sz w:val="28"/>
          <w:szCs w:val="28"/>
          <w:lang w:val="en-US" w:eastAsia="zh-CN"/>
        </w:rPr>
        <w:t>，</w:t>
      </w:r>
      <w:r>
        <w:rPr>
          <w:rFonts w:hint="default"/>
          <w:sz w:val="28"/>
          <w:szCs w:val="28"/>
          <w:lang w:val="en-US" w:eastAsia="zh-CN"/>
        </w:rPr>
        <w:t>为区域金融机构的AI应用布局提供场景图谱与实施建议</w:t>
      </w:r>
      <w:r>
        <w:rPr>
          <w:rFonts w:hint="eastAsia"/>
          <w:sz w:val="28"/>
          <w:szCs w:val="28"/>
          <w:lang w:val="en-US" w:eastAsia="zh-CN"/>
        </w:rPr>
        <w:t>。</w:t>
      </w:r>
    </w:p>
    <w:p w14:paraId="23DA68B5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default"/>
          <w:sz w:val="28"/>
          <w:szCs w:val="28"/>
          <w:lang w:val="en-US" w:eastAsia="zh-CN"/>
        </w:rPr>
        <w:t>、主要研究内容</w:t>
      </w:r>
      <w:r>
        <w:rPr>
          <w:rFonts w:hint="eastAsia"/>
          <w:sz w:val="28"/>
          <w:szCs w:val="28"/>
          <w:lang w:val="en-US" w:eastAsia="zh-CN"/>
        </w:rPr>
        <w:t>：</w:t>
      </w:r>
      <w:r>
        <w:rPr>
          <w:rFonts w:hint="default"/>
          <w:sz w:val="28"/>
          <w:szCs w:val="28"/>
          <w:lang w:val="en-US" w:eastAsia="zh-CN"/>
        </w:rPr>
        <w:t>人工智能与金融智能体技术发展现状与趋势综述</w:t>
      </w:r>
      <w:r>
        <w:rPr>
          <w:rFonts w:hint="eastAsia"/>
          <w:sz w:val="28"/>
          <w:szCs w:val="28"/>
          <w:lang w:val="en-US" w:eastAsia="zh-CN"/>
        </w:rPr>
        <w:t>；</w:t>
      </w:r>
      <w:r>
        <w:rPr>
          <w:rFonts w:hint="default"/>
          <w:sz w:val="28"/>
          <w:szCs w:val="28"/>
          <w:lang w:val="en-US" w:eastAsia="zh-CN"/>
        </w:rPr>
        <w:t>区域产业金融中AI应用的主要场景识别（智能尽调、产业图谱分析、风险预警、客户服务等）</w:t>
      </w:r>
      <w:r>
        <w:rPr>
          <w:rFonts w:hint="eastAsia"/>
          <w:sz w:val="28"/>
          <w:szCs w:val="28"/>
          <w:lang w:val="en-US" w:eastAsia="zh-CN"/>
        </w:rPr>
        <w:t>；</w:t>
      </w:r>
      <w:r>
        <w:rPr>
          <w:rFonts w:hint="default"/>
          <w:sz w:val="28"/>
          <w:szCs w:val="28"/>
          <w:lang w:val="en-US" w:eastAsia="zh-CN"/>
        </w:rPr>
        <w:t>典型应用场景的落地可行性评估与效果分析</w:t>
      </w:r>
      <w:r>
        <w:rPr>
          <w:rFonts w:hint="eastAsia"/>
          <w:sz w:val="28"/>
          <w:szCs w:val="28"/>
          <w:lang w:val="en-US" w:eastAsia="zh-CN"/>
        </w:rPr>
        <w:t>；</w:t>
      </w:r>
      <w:r>
        <w:rPr>
          <w:rFonts w:hint="default"/>
          <w:sz w:val="28"/>
          <w:szCs w:val="28"/>
          <w:lang w:val="en-US" w:eastAsia="zh-CN"/>
        </w:rPr>
        <w:t>应用推广中的主要障碍与对策建议</w:t>
      </w:r>
      <w:r>
        <w:rPr>
          <w:rFonts w:hint="eastAsia"/>
          <w:sz w:val="28"/>
          <w:szCs w:val="28"/>
          <w:lang w:val="en-US" w:eastAsia="zh-CN"/>
        </w:rPr>
        <w:t>。</w:t>
      </w:r>
    </w:p>
    <w:p w14:paraId="52BA8D02">
      <w:pPr>
        <w:rPr>
          <w:rFonts w:hint="default"/>
          <w:sz w:val="28"/>
          <w:szCs w:val="28"/>
          <w:lang w:val="en-US" w:eastAsia="zh-CN"/>
        </w:rPr>
      </w:pPr>
    </w:p>
    <w:p w14:paraId="18CCD2A0"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课题四</w:t>
      </w:r>
    </w:p>
    <w:p w14:paraId="020CD951"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《上海深化数据知识产权质押融资试点的应用研究》</w:t>
      </w:r>
    </w:p>
    <w:p w14:paraId="772A1C1C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default"/>
          <w:sz w:val="28"/>
          <w:szCs w:val="28"/>
          <w:lang w:val="en-US" w:eastAsia="zh-CN"/>
        </w:rPr>
        <w:t>、课题背景</w:t>
      </w:r>
      <w:r>
        <w:rPr>
          <w:rFonts w:hint="eastAsia"/>
          <w:sz w:val="28"/>
          <w:szCs w:val="28"/>
          <w:lang w:val="en-US" w:eastAsia="zh-CN"/>
        </w:rPr>
        <w:t>：</w:t>
      </w:r>
      <w:r>
        <w:rPr>
          <w:rFonts w:hint="default"/>
          <w:sz w:val="28"/>
          <w:szCs w:val="28"/>
          <w:lang w:val="en-US" w:eastAsia="zh-CN"/>
        </w:rPr>
        <w:t>数据作为新型生产要素，其知识产权质押融资是盘活数据资产、拓宽科创企业融资渠道的重要探索。上海作为试点城市，在制度设计、评估方法、风控模式等方面积累了初步经验，但数据确权难、估值难、处置难等瓶颈仍制约试点深化。</w:t>
      </w:r>
    </w:p>
    <w:p w14:paraId="7C690625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default"/>
          <w:sz w:val="28"/>
          <w:szCs w:val="28"/>
          <w:lang w:val="en-US" w:eastAsia="zh-CN"/>
        </w:rPr>
        <w:t>、课题目的</w:t>
      </w:r>
      <w:r>
        <w:rPr>
          <w:rFonts w:hint="eastAsia"/>
          <w:sz w:val="28"/>
          <w:szCs w:val="28"/>
          <w:lang w:val="en-US" w:eastAsia="zh-CN"/>
        </w:rPr>
        <w:t>：</w:t>
      </w:r>
      <w:r>
        <w:rPr>
          <w:rFonts w:hint="default"/>
          <w:sz w:val="28"/>
          <w:szCs w:val="28"/>
          <w:lang w:val="en-US" w:eastAsia="zh-CN"/>
        </w:rPr>
        <w:t>总结上海数据知识产权质押融资试点的实践经验与典型案例</w:t>
      </w:r>
      <w:r>
        <w:rPr>
          <w:rFonts w:hint="eastAsia"/>
          <w:sz w:val="28"/>
          <w:szCs w:val="28"/>
          <w:lang w:val="en-US" w:eastAsia="zh-CN"/>
        </w:rPr>
        <w:t>，</w:t>
      </w:r>
      <w:r>
        <w:rPr>
          <w:rFonts w:hint="default"/>
          <w:sz w:val="28"/>
          <w:szCs w:val="28"/>
          <w:lang w:val="en-US" w:eastAsia="zh-CN"/>
        </w:rPr>
        <w:t>分析试点过程中面临的关键难点与制度瓶颈</w:t>
      </w:r>
      <w:r>
        <w:rPr>
          <w:rFonts w:hint="eastAsia"/>
          <w:sz w:val="28"/>
          <w:szCs w:val="28"/>
          <w:lang w:val="en-US" w:eastAsia="zh-CN"/>
        </w:rPr>
        <w:t>，</w:t>
      </w:r>
      <w:r>
        <w:rPr>
          <w:rFonts w:hint="default"/>
          <w:sz w:val="28"/>
          <w:szCs w:val="28"/>
          <w:lang w:val="en-US" w:eastAsia="zh-CN"/>
        </w:rPr>
        <w:t>提出深化试点的可操作路径与政策建议</w:t>
      </w:r>
      <w:r>
        <w:rPr>
          <w:rFonts w:hint="eastAsia"/>
          <w:sz w:val="28"/>
          <w:szCs w:val="28"/>
          <w:lang w:val="en-US" w:eastAsia="zh-CN"/>
        </w:rPr>
        <w:t>。</w:t>
      </w:r>
    </w:p>
    <w:p w14:paraId="048A8DD6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default"/>
          <w:sz w:val="28"/>
          <w:szCs w:val="28"/>
          <w:lang w:val="en-US" w:eastAsia="zh-CN"/>
        </w:rPr>
        <w:t>、主要研究内容</w:t>
      </w:r>
      <w:r>
        <w:rPr>
          <w:rFonts w:hint="eastAsia"/>
          <w:sz w:val="28"/>
          <w:szCs w:val="28"/>
          <w:lang w:val="en-US" w:eastAsia="zh-CN"/>
        </w:rPr>
        <w:t>：</w:t>
      </w:r>
      <w:r>
        <w:rPr>
          <w:rFonts w:hint="default"/>
          <w:sz w:val="28"/>
          <w:szCs w:val="28"/>
          <w:lang w:val="en-US" w:eastAsia="zh-CN"/>
        </w:rPr>
        <w:t>数据知识产权质押融资的政策演进与上海试点现状</w:t>
      </w:r>
      <w:r>
        <w:rPr>
          <w:rFonts w:hint="eastAsia"/>
          <w:sz w:val="28"/>
          <w:szCs w:val="28"/>
          <w:lang w:val="en-US" w:eastAsia="zh-CN"/>
        </w:rPr>
        <w:t>；</w:t>
      </w:r>
      <w:r>
        <w:rPr>
          <w:rFonts w:hint="default"/>
          <w:sz w:val="28"/>
          <w:szCs w:val="28"/>
          <w:lang w:val="en-US" w:eastAsia="zh-CN"/>
        </w:rPr>
        <w:t>上海典型案例分析（成功模式与受阻案例）</w:t>
      </w:r>
      <w:r>
        <w:rPr>
          <w:rFonts w:hint="eastAsia"/>
          <w:sz w:val="28"/>
          <w:szCs w:val="28"/>
          <w:lang w:val="en-US" w:eastAsia="zh-CN"/>
        </w:rPr>
        <w:t>；</w:t>
      </w:r>
      <w:r>
        <w:rPr>
          <w:rFonts w:hint="default"/>
          <w:sz w:val="28"/>
          <w:szCs w:val="28"/>
          <w:lang w:val="en-US" w:eastAsia="zh-CN"/>
        </w:rPr>
        <w:t>数据资产评估、确权登记、风险处置等核心难点研究</w:t>
      </w:r>
      <w:r>
        <w:rPr>
          <w:rFonts w:hint="eastAsia"/>
          <w:sz w:val="28"/>
          <w:szCs w:val="28"/>
          <w:lang w:val="en-US" w:eastAsia="zh-CN"/>
        </w:rPr>
        <w:t>；</w:t>
      </w:r>
      <w:r>
        <w:rPr>
          <w:rFonts w:hint="default"/>
          <w:sz w:val="28"/>
          <w:szCs w:val="28"/>
          <w:lang w:val="en-US" w:eastAsia="zh-CN"/>
        </w:rPr>
        <w:t>深化试点的制度完善建议与操作方案设计</w:t>
      </w:r>
      <w:r>
        <w:rPr>
          <w:rFonts w:hint="eastAsia"/>
          <w:sz w:val="28"/>
          <w:szCs w:val="28"/>
          <w:lang w:val="en-US" w:eastAsia="zh-CN"/>
        </w:rPr>
        <w:t>。</w:t>
      </w:r>
    </w:p>
    <w:p w14:paraId="493D9F9E">
      <w:pPr>
        <w:rPr>
          <w:rFonts w:hint="default"/>
          <w:sz w:val="28"/>
          <w:szCs w:val="28"/>
          <w:lang w:val="en-US" w:eastAsia="zh-CN"/>
        </w:rPr>
      </w:pPr>
    </w:p>
    <w:p w14:paraId="37F7AE19"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课题五</w:t>
      </w:r>
    </w:p>
    <w:p w14:paraId="7AC42A86"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《长三角硬科技直接融资发展现状及问题研究》</w:t>
      </w:r>
    </w:p>
    <w:p w14:paraId="619A1CE3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default"/>
          <w:sz w:val="28"/>
          <w:szCs w:val="28"/>
          <w:lang w:val="en-US" w:eastAsia="zh-CN"/>
        </w:rPr>
        <w:t>、课题背景</w:t>
      </w:r>
      <w:r>
        <w:rPr>
          <w:rFonts w:hint="eastAsia"/>
          <w:sz w:val="28"/>
          <w:szCs w:val="28"/>
          <w:lang w:val="en-US" w:eastAsia="zh-CN"/>
        </w:rPr>
        <w:t>：</w:t>
      </w:r>
      <w:r>
        <w:rPr>
          <w:rFonts w:hint="default"/>
          <w:sz w:val="28"/>
          <w:szCs w:val="28"/>
          <w:lang w:val="en-US" w:eastAsia="zh-CN"/>
        </w:rPr>
        <w:t>硬科技企业具有研发投入高、成长周期长、轻资产运营等特征，传统银行信贷难以充分满足其融资需求，股权融资、债券融资、REITs等直接融资方式日益成为重要渠道。长三角作为全国硬科技创新高地，其直接融资发展现状与存在问题具有典型研究价值。</w:t>
      </w:r>
    </w:p>
    <w:p w14:paraId="30BE82B5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default"/>
          <w:sz w:val="28"/>
          <w:szCs w:val="28"/>
          <w:lang w:val="en-US" w:eastAsia="zh-CN"/>
        </w:rPr>
        <w:t>、课题目的</w:t>
      </w:r>
      <w:r>
        <w:rPr>
          <w:rFonts w:hint="eastAsia"/>
          <w:sz w:val="28"/>
          <w:szCs w:val="28"/>
          <w:lang w:val="en-US" w:eastAsia="zh-CN"/>
        </w:rPr>
        <w:t>：</w:t>
      </w:r>
      <w:r>
        <w:rPr>
          <w:rFonts w:hint="default"/>
          <w:sz w:val="28"/>
          <w:szCs w:val="28"/>
          <w:lang w:val="en-US" w:eastAsia="zh-CN"/>
        </w:rPr>
        <w:t>系统梳理长三角硬科技直接融资的发展现状与结构特征</w:t>
      </w:r>
      <w:r>
        <w:rPr>
          <w:rFonts w:hint="eastAsia"/>
          <w:sz w:val="28"/>
          <w:szCs w:val="28"/>
          <w:lang w:val="en-US" w:eastAsia="zh-CN"/>
        </w:rPr>
        <w:t>，</w:t>
      </w:r>
      <w:r>
        <w:rPr>
          <w:rFonts w:hint="default"/>
          <w:sz w:val="28"/>
          <w:szCs w:val="28"/>
          <w:lang w:val="en-US" w:eastAsia="zh-CN"/>
        </w:rPr>
        <w:t>识别硬科技企业在直接融资中面临的核心瓶颈</w:t>
      </w:r>
      <w:r>
        <w:rPr>
          <w:rFonts w:hint="eastAsia"/>
          <w:sz w:val="28"/>
          <w:szCs w:val="28"/>
          <w:lang w:val="en-US" w:eastAsia="zh-CN"/>
        </w:rPr>
        <w:t>，</w:t>
      </w:r>
      <w:r>
        <w:rPr>
          <w:rFonts w:hint="default"/>
          <w:sz w:val="28"/>
          <w:szCs w:val="28"/>
          <w:lang w:val="en-US" w:eastAsia="zh-CN"/>
        </w:rPr>
        <w:t>借鉴国际经验，提出优化长三角硬科技直接融资生态的政策建议</w:t>
      </w:r>
      <w:r>
        <w:rPr>
          <w:rFonts w:hint="eastAsia"/>
          <w:sz w:val="28"/>
          <w:szCs w:val="28"/>
          <w:lang w:val="en-US" w:eastAsia="zh-CN"/>
        </w:rPr>
        <w:t>。</w:t>
      </w:r>
    </w:p>
    <w:p w14:paraId="5D520B74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default"/>
          <w:sz w:val="28"/>
          <w:szCs w:val="28"/>
          <w:lang w:val="en-US" w:eastAsia="zh-CN"/>
        </w:rPr>
        <w:t>、主要研究内容</w:t>
      </w:r>
      <w:r>
        <w:rPr>
          <w:rFonts w:hint="eastAsia"/>
          <w:sz w:val="28"/>
          <w:szCs w:val="28"/>
          <w:lang w:val="en-US" w:eastAsia="zh-CN"/>
        </w:rPr>
        <w:t>：</w:t>
      </w:r>
      <w:r>
        <w:rPr>
          <w:rFonts w:hint="default"/>
          <w:sz w:val="28"/>
          <w:szCs w:val="28"/>
          <w:lang w:val="en-US" w:eastAsia="zh-CN"/>
        </w:rPr>
        <w:t>长三角硬科技直接融资发展现状（股权融资、债券融资、资产证券化等规模与结构）</w:t>
      </w:r>
      <w:r>
        <w:rPr>
          <w:rFonts w:hint="eastAsia"/>
          <w:sz w:val="28"/>
          <w:szCs w:val="28"/>
          <w:lang w:val="en-US" w:eastAsia="zh-CN"/>
        </w:rPr>
        <w:t>；</w:t>
      </w:r>
      <w:r>
        <w:rPr>
          <w:rFonts w:hint="default"/>
          <w:sz w:val="28"/>
          <w:szCs w:val="28"/>
          <w:lang w:val="en-US" w:eastAsia="zh-CN"/>
        </w:rPr>
        <w:t>硬科技企业直接融资面临的主要问题（估值定价难、退出渠道不畅、信息不对称、信用增级不足等）</w:t>
      </w:r>
      <w:r>
        <w:rPr>
          <w:rFonts w:hint="eastAsia"/>
          <w:sz w:val="28"/>
          <w:szCs w:val="28"/>
          <w:lang w:val="en-US" w:eastAsia="zh-CN"/>
        </w:rPr>
        <w:t>；</w:t>
      </w:r>
      <w:r>
        <w:rPr>
          <w:rFonts w:hint="default"/>
          <w:sz w:val="28"/>
          <w:szCs w:val="28"/>
          <w:lang w:val="en-US" w:eastAsia="zh-CN"/>
        </w:rPr>
        <w:t>国际硬科技直接融资经验借鉴</w:t>
      </w:r>
      <w:r>
        <w:rPr>
          <w:rFonts w:hint="eastAsia"/>
          <w:sz w:val="28"/>
          <w:szCs w:val="28"/>
          <w:lang w:val="en-US" w:eastAsia="zh-CN"/>
        </w:rPr>
        <w:t>；</w:t>
      </w:r>
      <w:r>
        <w:rPr>
          <w:rFonts w:hint="default"/>
          <w:sz w:val="28"/>
          <w:szCs w:val="28"/>
          <w:lang w:val="en-US" w:eastAsia="zh-CN"/>
        </w:rPr>
        <w:t>优化长三角硬科技直接融资生态的对策建议</w:t>
      </w:r>
      <w:r>
        <w:rPr>
          <w:rFonts w:hint="eastAsia"/>
          <w:sz w:val="28"/>
          <w:szCs w:val="28"/>
          <w:lang w:val="en-US" w:eastAsia="zh-CN"/>
        </w:rPr>
        <w:t>。</w:t>
      </w:r>
    </w:p>
    <w:p w14:paraId="242F7874">
      <w:pPr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746498"/>
    <w:rsid w:val="49A535E1"/>
    <w:rsid w:val="4E196816"/>
    <w:rsid w:val="6874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1735</Words>
  <Characters>1745</Characters>
  <Lines>0</Lines>
  <Paragraphs>0</Paragraphs>
  <TotalTime>12</TotalTime>
  <ScaleCrop>false</ScaleCrop>
  <LinksUpToDate>false</LinksUpToDate>
  <CharactersWithSpaces>1745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2026-08-20T02:22:00Z</dcterms:created>
  <dc:creator>冯晓楠</dc:creator>
  <cp:lastModifiedBy>chisylove</cp:lastModifiedBy>
  <dcterms:modified xsi:type="dcterms:W3CDTF">2026-08-31T03:41:19Z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E334AE41B7084799BB135CD533A6889E_11</vt:lpwstr>
  </property>
  <property fmtid="{D5CDD505-2E9C-101B-9397-08002B2CF9AE}" pid="4" name="KSOTemplateDocerSaveRecord">
    <vt:lpwstr>eyJoZGlkIjoiZjNkNWE4Y2E4MDI2M2Q3NjNlYWM0NzUwNjRlOWQ1ZjgiLCJ1c2VySWQiOiI0OTQwOTUzOTUifQ==</vt:lpwstr>
  </property>
</Properties>
</file>