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F6C4E">
      <w:pPr>
        <w:ind w:left="480" w:hanging="480"/>
        <w:jc w:val="center"/>
        <w:rPr>
          <w:rFonts w:ascii="楷体" w:hAnsi="楷体" w:eastAsia="楷体"/>
          <w:sz w:val="44"/>
          <w:szCs w:val="44"/>
        </w:rPr>
      </w:pPr>
      <w:r>
        <w:rPr>
          <w:rFonts w:hint="eastAsia" w:ascii="楷体" w:hAnsi="楷体" w:eastAsia="楷体"/>
          <w:sz w:val="44"/>
          <w:szCs w:val="44"/>
        </w:rPr>
        <w:t>招标课题指南</w:t>
      </w:r>
    </w:p>
    <w:p w14:paraId="126EF5C7">
      <w:pPr>
        <w:numPr>
          <w:ilvl w:val="0"/>
          <w:numId w:val="0"/>
        </w:numPr>
        <w:rPr>
          <w:rFonts w:hint="eastAsia" w:ascii="仿宋" w:hAnsi="仿宋" w:eastAsia="仿宋"/>
          <w:b/>
          <w:sz w:val="32"/>
          <w:szCs w:val="32"/>
        </w:rPr>
      </w:pPr>
      <w:r>
        <w:rPr>
          <w:rFonts w:hint="eastAsia" w:ascii="仿宋" w:hAnsi="仿宋" w:eastAsia="仿宋"/>
          <w:b/>
          <w:sz w:val="32"/>
          <w:szCs w:val="32"/>
          <w:lang w:val="en-US" w:eastAsia="zh-CN"/>
        </w:rPr>
        <w:t>1、上海建设全球资产管理中心存在的问题与路径研究</w:t>
      </w:r>
    </w:p>
    <w:p w14:paraId="1AAA2BA4">
      <w:pPr>
        <w:numPr>
          <w:ilvl w:val="0"/>
          <w:numId w:val="0"/>
        </w:numPr>
        <w:rPr>
          <w:rFonts w:ascii="仿宋" w:hAnsi="仿宋" w:eastAsia="仿宋"/>
          <w:b/>
          <w:sz w:val="32"/>
          <w:szCs w:val="32"/>
        </w:rPr>
      </w:pPr>
      <w:r>
        <w:rPr>
          <w:rFonts w:hint="eastAsia" w:ascii="仿宋" w:hAnsi="仿宋" w:eastAsia="仿宋"/>
          <w:b/>
          <w:sz w:val="32"/>
          <w:szCs w:val="32"/>
        </w:rPr>
        <w:t>研究目的与要求：</w:t>
      </w:r>
    </w:p>
    <w:p w14:paraId="277DE4BD">
      <w:pPr>
        <w:ind w:firstLine="640" w:firstLineChars="200"/>
        <w:rPr>
          <w:rFonts w:hint="eastAsia" w:ascii="仿宋" w:hAnsi="仿宋" w:eastAsia="仿宋"/>
          <w:bCs/>
          <w:sz w:val="32"/>
          <w:szCs w:val="32"/>
          <w:lang w:eastAsia="zh-CN"/>
        </w:rPr>
      </w:pPr>
      <w:r>
        <w:rPr>
          <w:rFonts w:hint="eastAsia" w:ascii="仿宋" w:hAnsi="仿宋" w:eastAsia="仿宋"/>
          <w:bCs/>
          <w:sz w:val="32"/>
          <w:szCs w:val="32"/>
          <w:lang w:eastAsia="zh-CN"/>
        </w:rPr>
        <w:t>上海全球资产管理中心是人民币全球资产的登记中心、托管中心、定价中心、投融资中心、增信交易中心，通过完善和推出一批具有国际影响力的金融价格，将以人民币计价的各类“上海价格”逐渐打造成为各类人民币资产的定价标准，为全球人民币资产配置中心建设赋能。在新的时代要求和复杂环境下，上海国际金融中心肩负着向更高能级迈进、建设金融强国的使命担当，而建设全球资管中心是上海国际金融中心‘升级版’建设的重要内容之一。</w:t>
      </w:r>
    </w:p>
    <w:p w14:paraId="75127EF0">
      <w:pPr>
        <w:ind w:firstLine="640" w:firstLineChars="200"/>
        <w:rPr>
          <w:rFonts w:hint="eastAsia" w:ascii="仿宋" w:hAnsi="仿宋" w:eastAsia="仿宋"/>
          <w:bCs/>
          <w:sz w:val="32"/>
          <w:szCs w:val="32"/>
          <w:lang w:eastAsia="zh-CN"/>
        </w:rPr>
      </w:pPr>
      <w:r>
        <w:rPr>
          <w:rFonts w:hint="eastAsia" w:ascii="仿宋" w:hAnsi="仿宋" w:eastAsia="仿宋"/>
          <w:bCs/>
          <w:sz w:val="32"/>
          <w:szCs w:val="32"/>
          <w:lang w:eastAsia="zh-CN"/>
        </w:rPr>
        <w:t>做大做强上海全球资管中心的路径，包括:搭建离岸债权类资管中心，以“离岸债”探索全球资源配置的新高地；创设跨境股权资产投融资业务，以“离岸板”培育对外开放的新能级；拓宽各类跨境商品资产交易，以“上海碳”丰富“上海价格”的新内涵；增强国有资产跨境管理与运作，以“产权通”推动企业国际化经营新步伐；优化私募股权交易与流转，以“E转让”打造安全高效的份额转让新平台。</w:t>
      </w:r>
    </w:p>
    <w:p w14:paraId="4D31A568">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43861F29">
      <w:pPr>
        <w:ind w:firstLine="640" w:firstLineChars="200"/>
        <w:rPr>
          <w:rFonts w:hint="eastAsia" w:ascii="仿宋" w:hAnsi="仿宋" w:eastAsia="仿宋"/>
          <w:bCs/>
          <w:sz w:val="32"/>
          <w:szCs w:val="32"/>
          <w:lang w:eastAsia="zh-CN"/>
        </w:rPr>
      </w:pPr>
      <w:r>
        <w:rPr>
          <w:rFonts w:hint="eastAsia" w:ascii="仿宋" w:hAnsi="仿宋" w:eastAsia="仿宋"/>
          <w:bCs/>
          <w:sz w:val="32"/>
          <w:szCs w:val="32"/>
        </w:rPr>
        <w:t>中资机构跨境数据流动的破壁机制</w:t>
      </w:r>
      <w:r>
        <w:rPr>
          <w:rFonts w:hint="eastAsia" w:ascii="仿宋" w:hAnsi="仿宋" w:eastAsia="仿宋"/>
          <w:bCs/>
          <w:sz w:val="32"/>
          <w:szCs w:val="32"/>
          <w:lang w:eastAsia="zh-CN"/>
        </w:rPr>
        <w:t>；人民币国际化进程中的资产定价权缺失；联合“一带一路”国家推动多边数据走廊。</w:t>
      </w:r>
    </w:p>
    <w:p w14:paraId="41E730B6">
      <w:pPr>
        <w:numPr>
          <w:ilvl w:val="0"/>
          <w:numId w:val="1"/>
        </w:numPr>
        <w:ind w:leftChars="0"/>
        <w:rPr>
          <w:rFonts w:hint="eastAsia" w:ascii="仿宋" w:hAnsi="仿宋" w:eastAsia="仿宋"/>
          <w:b/>
          <w:sz w:val="32"/>
          <w:szCs w:val="32"/>
        </w:rPr>
      </w:pPr>
      <w:r>
        <w:rPr>
          <w:rFonts w:hint="eastAsia" w:ascii="仿宋" w:hAnsi="仿宋" w:eastAsia="仿宋"/>
          <w:b/>
          <w:sz w:val="32"/>
          <w:szCs w:val="32"/>
        </w:rPr>
        <w:t>支付结算服务数字化转型面临的挑战与对策</w:t>
      </w:r>
    </w:p>
    <w:p w14:paraId="48678E45">
      <w:pPr>
        <w:numPr>
          <w:ilvl w:val="0"/>
          <w:numId w:val="0"/>
        </w:numPr>
        <w:rPr>
          <w:rFonts w:ascii="仿宋" w:hAnsi="仿宋" w:eastAsia="仿宋"/>
          <w:b/>
          <w:sz w:val="32"/>
          <w:szCs w:val="32"/>
        </w:rPr>
      </w:pPr>
      <w:r>
        <w:rPr>
          <w:rFonts w:hint="eastAsia" w:ascii="仿宋" w:hAnsi="仿宋" w:eastAsia="仿宋"/>
          <w:b/>
          <w:sz w:val="32"/>
          <w:szCs w:val="32"/>
        </w:rPr>
        <w:t>研究研究目的与要求：</w:t>
      </w:r>
    </w:p>
    <w:p w14:paraId="0D948761">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随着信息技术的迅猛发展，数字支付结算行业在全球范围内迅速崛起，成为推动经济数字化转型的重要力量。在创新技术的驱动下，支付结算行业正经历着以下几个方面的创新发展：移动支付普及化、金融科技深度融合、跨境支付便利化。尽管支付结算行业发展迅速，但也面临着一些挑战：市场竞争激烈：随着市场竞争的加剧，各类支付机构需要不断提升服务质量、降低交易成本以吸引用户。企业加强内部管理和风险控制体系建设，确保业务合规发展。技术安全风险成为影响支付行业稳定发展的重要因素。企业需要加强技术研发和投入，提升技术安全防护能力，保障用户资金安全。本课题旨在研究金融机构支付结算数字化发展道路上所存在的问题，包括数字化战略执行，数字化组织架构和数字化运营效能等。</w:t>
      </w:r>
    </w:p>
    <w:p w14:paraId="6B7DF94E">
      <w:pPr>
        <w:rPr>
          <w:rFonts w:hint="eastAsia" w:ascii="仿宋" w:hAnsi="仿宋" w:eastAsia="仿宋"/>
          <w:sz w:val="28"/>
          <w:szCs w:val="28"/>
        </w:rPr>
      </w:pPr>
      <w:r>
        <w:rPr>
          <w:rFonts w:hint="eastAsia" w:ascii="仿宋" w:hAnsi="仿宋" w:eastAsia="仿宋"/>
          <w:b/>
          <w:bCs/>
          <w:sz w:val="32"/>
          <w:szCs w:val="32"/>
        </w:rPr>
        <w:t>本课题重点研究但不限于以下方面：</w:t>
      </w:r>
    </w:p>
    <w:p w14:paraId="3ECC3C02">
      <w:pPr>
        <w:ind w:firstLine="640" w:firstLineChars="200"/>
        <w:rPr>
          <w:rFonts w:hint="eastAsia" w:ascii="仿宋" w:hAnsi="仿宋" w:eastAsia="仿宋"/>
          <w:bCs/>
          <w:sz w:val="32"/>
          <w:szCs w:val="32"/>
          <w:lang w:eastAsia="zh-CN"/>
        </w:rPr>
      </w:pPr>
      <w:r>
        <w:rPr>
          <w:rFonts w:hint="eastAsia" w:ascii="仿宋" w:hAnsi="仿宋" w:eastAsia="仿宋"/>
          <w:bCs/>
          <w:sz w:val="32"/>
          <w:szCs w:val="32"/>
        </w:rPr>
        <w:t>支付结算服务数字化转型面临的挑战</w:t>
      </w:r>
      <w:r>
        <w:rPr>
          <w:rFonts w:hint="eastAsia" w:ascii="仿宋" w:hAnsi="仿宋" w:eastAsia="仿宋"/>
          <w:bCs/>
          <w:sz w:val="32"/>
          <w:szCs w:val="32"/>
          <w:lang w:eastAsia="zh-CN"/>
        </w:rPr>
        <w:t>；支付结算服务数字化转型</w:t>
      </w:r>
      <w:r>
        <w:rPr>
          <w:rFonts w:hint="eastAsia" w:ascii="仿宋" w:hAnsi="仿宋" w:eastAsia="仿宋"/>
          <w:bCs/>
          <w:sz w:val="32"/>
          <w:szCs w:val="32"/>
          <w:lang w:val="en-US" w:eastAsia="zh-CN"/>
        </w:rPr>
        <w:t>的解决</w:t>
      </w:r>
      <w:r>
        <w:rPr>
          <w:rFonts w:hint="eastAsia" w:ascii="仿宋" w:hAnsi="仿宋" w:eastAsia="仿宋"/>
          <w:bCs/>
          <w:sz w:val="32"/>
          <w:szCs w:val="32"/>
          <w:lang w:eastAsia="zh-CN"/>
        </w:rPr>
        <w:t>对策。</w:t>
      </w:r>
    </w:p>
    <w:p w14:paraId="061B274B">
      <w:pPr>
        <w:ind w:firstLine="640" w:firstLineChars="200"/>
        <w:rPr>
          <w:rFonts w:hint="eastAsia" w:ascii="仿宋" w:hAnsi="仿宋" w:eastAsia="仿宋"/>
          <w:bCs/>
          <w:sz w:val="32"/>
          <w:szCs w:val="32"/>
          <w:lang w:eastAsia="zh-CN"/>
        </w:rPr>
      </w:pPr>
      <w:bookmarkStart w:id="0" w:name="_GoBack"/>
      <w:bookmarkEnd w:id="0"/>
    </w:p>
    <w:p w14:paraId="77156398">
      <w:pPr>
        <w:numPr>
          <w:ilvl w:val="0"/>
          <w:numId w:val="2"/>
        </w:numPr>
        <w:rPr>
          <w:rFonts w:hint="eastAsia" w:ascii="仿宋" w:hAnsi="仿宋" w:eastAsia="仿宋"/>
          <w:b/>
          <w:sz w:val="32"/>
          <w:szCs w:val="32"/>
        </w:rPr>
      </w:pPr>
      <w:r>
        <w:rPr>
          <w:rFonts w:hint="eastAsia" w:ascii="仿宋" w:hAnsi="仿宋" w:eastAsia="仿宋"/>
          <w:b/>
          <w:sz w:val="32"/>
          <w:szCs w:val="32"/>
        </w:rPr>
        <w:t>长三角金融科技人才协同培养模式研究</w:t>
      </w:r>
    </w:p>
    <w:p w14:paraId="3318604E">
      <w:pPr>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研究目的与要求</w:t>
      </w:r>
    </w:p>
    <w:p w14:paraId="6F29393B">
      <w:pPr>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val="en-US" w:eastAsia="zh-CN"/>
        </w:rPr>
        <w:t>本课题旨在</w:t>
      </w:r>
      <w:r>
        <w:rPr>
          <w:rFonts w:hint="eastAsia" w:ascii="仿宋" w:hAnsi="仿宋" w:eastAsia="仿宋"/>
          <w:b w:val="0"/>
          <w:bCs w:val="0"/>
          <w:sz w:val="32"/>
          <w:szCs w:val="32"/>
        </w:rPr>
        <w:t>破解区域人才协同壁垒</w:t>
      </w:r>
      <w:r>
        <w:rPr>
          <w:rFonts w:hint="eastAsia" w:ascii="仿宋" w:hAnsi="仿宋" w:eastAsia="仿宋"/>
          <w:b w:val="0"/>
          <w:bCs w:val="0"/>
          <w:sz w:val="32"/>
          <w:szCs w:val="32"/>
          <w:lang w:eastAsia="zh-CN"/>
        </w:rPr>
        <w:t>，</w:t>
      </w:r>
      <w:r>
        <w:rPr>
          <w:rFonts w:hint="eastAsia" w:ascii="仿宋" w:hAnsi="仿宋" w:eastAsia="仿宋"/>
          <w:b w:val="0"/>
          <w:bCs w:val="0"/>
          <w:sz w:val="32"/>
          <w:szCs w:val="32"/>
        </w:rPr>
        <w:t>解决长三角三省一市（沪苏浙皖）在金融科技人才培养中的政策割裂、资源分散、标准不一问题，构建跨行政区的协同治理框架。打造产教融合升级范式</w:t>
      </w:r>
      <w:r>
        <w:rPr>
          <w:rFonts w:hint="eastAsia" w:ascii="仿宋" w:hAnsi="仿宋" w:eastAsia="仿宋"/>
          <w:b w:val="0"/>
          <w:bCs w:val="0"/>
          <w:sz w:val="32"/>
          <w:szCs w:val="32"/>
          <w:lang w:eastAsia="zh-CN"/>
        </w:rPr>
        <w:t>，</w:t>
      </w:r>
      <w:r>
        <w:rPr>
          <w:rFonts w:hint="eastAsia" w:ascii="仿宋" w:hAnsi="仿宋" w:eastAsia="仿宋"/>
          <w:b w:val="0"/>
          <w:bCs w:val="0"/>
          <w:sz w:val="32"/>
          <w:szCs w:val="32"/>
        </w:rPr>
        <w:t>建立 "高校-企业-政府-协会"四维驱动 的培养生态，推动人才培养与产业需求动态匹配（如区块链、监管科技、绿色金融等新兴领域）。形成可复制的协同标准</w:t>
      </w:r>
      <w:r>
        <w:rPr>
          <w:rFonts w:hint="eastAsia" w:ascii="仿宋" w:hAnsi="仿宋" w:eastAsia="仿宋"/>
          <w:b w:val="0"/>
          <w:bCs w:val="0"/>
          <w:sz w:val="32"/>
          <w:szCs w:val="32"/>
          <w:lang w:eastAsia="zh-CN"/>
        </w:rPr>
        <w:t>，</w:t>
      </w:r>
      <w:r>
        <w:rPr>
          <w:rFonts w:hint="eastAsia" w:ascii="仿宋" w:hAnsi="仿宋" w:eastAsia="仿宋"/>
          <w:b w:val="0"/>
          <w:bCs w:val="0"/>
          <w:sz w:val="32"/>
          <w:szCs w:val="32"/>
        </w:rPr>
        <w:t xml:space="preserve"> 输出《长三角金融科技人才能力认证通用标准》和《跨区域实训基地建设指南》，为全国城市群人才培养提供样板。激活数字人才流动生态</w:t>
      </w:r>
      <w:r>
        <w:rPr>
          <w:rFonts w:hint="eastAsia" w:ascii="仿宋" w:hAnsi="仿宋" w:eastAsia="仿宋"/>
          <w:b w:val="0"/>
          <w:bCs w:val="0"/>
          <w:sz w:val="32"/>
          <w:szCs w:val="32"/>
          <w:lang w:eastAsia="zh-CN"/>
        </w:rPr>
        <w:t>，</w:t>
      </w:r>
      <w:r>
        <w:rPr>
          <w:rFonts w:hint="eastAsia" w:ascii="仿宋" w:hAnsi="仿宋" w:eastAsia="仿宋"/>
          <w:b w:val="0"/>
          <w:bCs w:val="0"/>
          <w:sz w:val="32"/>
          <w:szCs w:val="32"/>
        </w:rPr>
        <w:t>构建 "学分银行-微证书-职业资格"三衔接机制，促进人才在长三角的自由流通与价值增值。</w:t>
      </w:r>
    </w:p>
    <w:p w14:paraId="5B200FEF">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0E607E35">
      <w:pPr>
        <w:ind w:firstLine="640" w:firstLineChars="200"/>
        <w:rPr>
          <w:rFonts w:hint="eastAsia" w:ascii="仿宋" w:hAnsi="仿宋" w:eastAsia="仿宋"/>
          <w:bCs/>
          <w:sz w:val="32"/>
          <w:szCs w:val="32"/>
          <w:lang w:eastAsia="zh-CN"/>
        </w:rPr>
      </w:pPr>
      <w:r>
        <w:rPr>
          <w:rFonts w:hint="eastAsia" w:ascii="仿宋" w:hAnsi="仿宋" w:eastAsia="仿宋"/>
          <w:bCs/>
          <w:sz w:val="32"/>
          <w:szCs w:val="32"/>
          <w:lang w:eastAsia="zh-CN"/>
        </w:rPr>
        <w:t>长三角金融科技“三位一体”人才生态圈构建研究：基于产学研协同的实训基地创新模式；</w:t>
      </w:r>
      <w:r>
        <w:rPr>
          <w:rFonts w:hint="eastAsia" w:ascii="仿宋" w:hAnsi="仿宋" w:eastAsia="仿宋"/>
          <w:bCs/>
          <w:sz w:val="32"/>
          <w:szCs w:val="32"/>
        </w:rPr>
        <w:t>区域协同治理机制创新</w:t>
      </w:r>
      <w:r>
        <w:rPr>
          <w:rFonts w:hint="eastAsia" w:ascii="仿宋" w:hAnsi="仿宋" w:eastAsia="仿宋"/>
          <w:bCs/>
          <w:sz w:val="32"/>
          <w:szCs w:val="32"/>
          <w:lang w:eastAsia="zh-CN"/>
        </w:rPr>
        <w:t>；运用产业大数据构建动态课程响应系统；虚实结合的实训基地网络。</w:t>
      </w:r>
    </w:p>
    <w:p w14:paraId="5D446C8F">
      <w:pPr>
        <w:ind w:firstLine="640" w:firstLineChars="200"/>
        <w:rPr>
          <w:rFonts w:hint="eastAsia" w:ascii="仿宋" w:hAnsi="仿宋" w:eastAsia="仿宋"/>
          <w:bCs/>
          <w:sz w:val="32"/>
          <w:szCs w:val="32"/>
          <w:lang w:eastAsia="zh-CN"/>
        </w:rPr>
      </w:pPr>
    </w:p>
    <w:p w14:paraId="3F9C1DF9">
      <w:pPr>
        <w:numPr>
          <w:ilvl w:val="0"/>
          <w:numId w:val="2"/>
        </w:numPr>
        <w:ind w:left="0" w:leftChars="0" w:firstLine="0" w:firstLineChars="0"/>
        <w:rPr>
          <w:rFonts w:hint="eastAsia" w:ascii="仿宋" w:hAnsi="仿宋" w:eastAsia="仿宋"/>
          <w:b/>
          <w:sz w:val="32"/>
          <w:szCs w:val="32"/>
        </w:rPr>
      </w:pPr>
      <w:r>
        <w:rPr>
          <w:rFonts w:hint="eastAsia" w:ascii="仿宋" w:hAnsi="仿宋" w:eastAsia="仿宋"/>
          <w:b/>
          <w:sz w:val="32"/>
          <w:szCs w:val="32"/>
        </w:rPr>
        <w:t>中国自主知识体系下数字金融微专业建构研究</w:t>
      </w:r>
    </w:p>
    <w:p w14:paraId="5B05C931">
      <w:pPr>
        <w:rPr>
          <w:rFonts w:ascii="仿宋" w:hAnsi="仿宋" w:eastAsia="仿宋"/>
          <w:b/>
          <w:sz w:val="32"/>
          <w:szCs w:val="32"/>
        </w:rPr>
      </w:pPr>
      <w:r>
        <w:rPr>
          <w:rFonts w:hint="eastAsia" w:ascii="仿宋" w:hAnsi="仿宋" w:eastAsia="仿宋"/>
          <w:b/>
          <w:sz w:val="32"/>
          <w:szCs w:val="32"/>
        </w:rPr>
        <w:t>研究目的与要求：</w:t>
      </w:r>
    </w:p>
    <w:p w14:paraId="7AF0B123">
      <w:pPr>
        <w:ind w:firstLine="640" w:firstLineChars="200"/>
        <w:rPr>
          <w:rFonts w:hint="eastAsia" w:ascii="仿宋" w:hAnsi="仿宋" w:eastAsia="仿宋"/>
          <w:bCs/>
          <w:sz w:val="32"/>
          <w:szCs w:val="32"/>
        </w:rPr>
      </w:pPr>
      <w:r>
        <w:rPr>
          <w:rFonts w:hint="eastAsia" w:ascii="仿宋" w:hAnsi="仿宋" w:eastAsia="仿宋"/>
          <w:bCs/>
          <w:sz w:val="32"/>
          <w:szCs w:val="32"/>
          <w:lang w:val="en-US" w:eastAsia="zh-CN"/>
        </w:rPr>
        <w:t>本课题旨在</w:t>
      </w:r>
      <w:r>
        <w:rPr>
          <w:rFonts w:hint="eastAsia" w:ascii="仿宋" w:hAnsi="仿宋" w:eastAsia="仿宋"/>
          <w:bCs/>
          <w:sz w:val="32"/>
          <w:szCs w:val="32"/>
        </w:rPr>
        <w:t>构建中国自主知识体系下的数字金融微专业范式</w:t>
      </w:r>
      <w:r>
        <w:rPr>
          <w:rFonts w:hint="eastAsia" w:ascii="仿宋" w:hAnsi="仿宋" w:eastAsia="仿宋"/>
          <w:bCs/>
          <w:sz w:val="32"/>
          <w:szCs w:val="32"/>
          <w:lang w:eastAsia="zh-CN"/>
        </w:rPr>
        <w:t>，</w:t>
      </w:r>
      <w:r>
        <w:rPr>
          <w:rFonts w:hint="eastAsia" w:ascii="仿宋" w:hAnsi="仿宋" w:eastAsia="仿宋"/>
          <w:bCs/>
          <w:sz w:val="32"/>
          <w:szCs w:val="32"/>
        </w:rPr>
        <w:t>立足中国金融科技发展路径与监管框架，突破西方课程体系依赖，设计符合国家金融安全、科技自立要求的微专业课程体系与知识模块。推动产教融合的课程创新与标准输出</w:t>
      </w:r>
      <w:r>
        <w:rPr>
          <w:rFonts w:hint="eastAsia" w:ascii="仿宋" w:hAnsi="仿宋" w:eastAsia="仿宋"/>
          <w:bCs/>
          <w:sz w:val="32"/>
          <w:szCs w:val="32"/>
          <w:lang w:eastAsia="zh-CN"/>
        </w:rPr>
        <w:t>，</w:t>
      </w:r>
      <w:r>
        <w:rPr>
          <w:rFonts w:hint="eastAsia" w:ascii="仿宋" w:hAnsi="仿宋" w:eastAsia="仿宋"/>
          <w:bCs/>
          <w:sz w:val="32"/>
          <w:szCs w:val="32"/>
        </w:rPr>
        <w:t>联合金融机构、科技企业与高校，开发融合"技术+金融+场景"的模块化课程，形成可复制的微专业建设国家标准，服务全国高校专业改革。打造长三角区域协同实践样板</w:t>
      </w:r>
      <w:r>
        <w:rPr>
          <w:rFonts w:hint="eastAsia" w:ascii="仿宋" w:hAnsi="仿宋" w:eastAsia="仿宋"/>
          <w:bCs/>
          <w:sz w:val="32"/>
          <w:szCs w:val="32"/>
          <w:lang w:eastAsia="zh-CN"/>
        </w:rPr>
        <w:t>，</w:t>
      </w:r>
      <w:r>
        <w:rPr>
          <w:rFonts w:hint="eastAsia" w:ascii="仿宋" w:hAnsi="仿宋" w:eastAsia="仿宋"/>
          <w:bCs/>
          <w:sz w:val="32"/>
          <w:szCs w:val="32"/>
        </w:rPr>
        <w:t>通过长三角高校试点验证课程有效性，建立"课程开发-企业实训-资格认证-就业对接"的区域协作机制，为全国输出可推广的"政产学研用"一体化模式。</w:t>
      </w:r>
    </w:p>
    <w:p w14:paraId="163C0B3C">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5FFF1850">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中国数字金融知识体系的核心要素解构；微专业课程的本土化重构路径；产教融合的微专业认证标准构建；微专业质量评估与持续改进机制。</w:t>
      </w:r>
    </w:p>
    <w:p w14:paraId="1992778B">
      <w:pPr>
        <w:ind w:firstLine="640" w:firstLineChars="200"/>
        <w:rPr>
          <w:rFonts w:hint="eastAsia" w:ascii="仿宋" w:hAnsi="仿宋" w:eastAsia="仿宋"/>
          <w:sz w:val="32"/>
          <w:szCs w:val="32"/>
          <w:lang w:val="en-US" w:eastAsia="zh-CN"/>
        </w:rPr>
      </w:pPr>
    </w:p>
    <w:p w14:paraId="3B7E1E0F">
      <w:pPr>
        <w:pStyle w:val="14"/>
        <w:numPr>
          <w:ilvl w:val="0"/>
          <w:numId w:val="0"/>
        </w:numPr>
        <w:ind w:leftChars="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.上海深化数字人民币试点的应用研究</w:t>
      </w:r>
    </w:p>
    <w:p w14:paraId="40596A6A">
      <w:pPr>
        <w:rPr>
          <w:rFonts w:ascii="仿宋" w:hAnsi="仿宋" w:eastAsia="仿宋"/>
          <w:b/>
          <w:sz w:val="32"/>
          <w:szCs w:val="32"/>
        </w:rPr>
      </w:pPr>
      <w:r>
        <w:rPr>
          <w:rFonts w:hint="eastAsia" w:ascii="仿宋" w:hAnsi="仿宋" w:eastAsia="仿宋"/>
          <w:b/>
          <w:sz w:val="32"/>
          <w:szCs w:val="32"/>
        </w:rPr>
        <w:t>研究目的与要求：</w:t>
      </w:r>
    </w:p>
    <w:p w14:paraId="568671C0">
      <w:pPr>
        <w:ind w:firstLine="640" w:firstLineChars="200"/>
        <w:rPr>
          <w:rFonts w:ascii="仿宋" w:hAnsi="仿宋" w:eastAsia="仿宋"/>
          <w:bCs/>
          <w:sz w:val="32"/>
          <w:szCs w:val="32"/>
        </w:rPr>
      </w:pPr>
      <w:r>
        <w:rPr>
          <w:rFonts w:hint="eastAsia" w:ascii="仿宋" w:hAnsi="仿宋" w:eastAsia="仿宋"/>
          <w:bCs/>
          <w:sz w:val="32"/>
          <w:szCs w:val="32"/>
          <w:lang w:val="en-US" w:eastAsia="zh-CN"/>
        </w:rPr>
        <w:t>上海</w:t>
      </w:r>
      <w:r>
        <w:rPr>
          <w:rFonts w:hint="eastAsia" w:ascii="仿宋" w:hAnsi="仿宋" w:eastAsia="仿宋"/>
          <w:bCs/>
          <w:sz w:val="32"/>
          <w:szCs w:val="32"/>
        </w:rPr>
        <w:t>加速推进数字人民币应用</w:t>
      </w:r>
      <w:r>
        <w:rPr>
          <w:rFonts w:hint="eastAsia" w:ascii="仿宋" w:hAnsi="仿宋" w:eastAsia="仿宋"/>
          <w:bCs/>
          <w:sz w:val="32"/>
          <w:szCs w:val="32"/>
          <w:lang w:eastAsia="zh-CN"/>
        </w:rPr>
        <w:t>，</w:t>
      </w:r>
      <w:r>
        <w:rPr>
          <w:rFonts w:hint="eastAsia" w:ascii="仿宋" w:hAnsi="仿宋" w:eastAsia="仿宋"/>
          <w:bCs/>
          <w:sz w:val="32"/>
          <w:szCs w:val="32"/>
        </w:rPr>
        <w:t>这一战略部署将数字人民币深度融入上海国际消费中心城市建设，标志着数字金融正在重塑城市消费生态。本研究旨在系统梳理上海作为数字人民币试点核心城市的应用场景现状，发现其在零售消费、交通出行、政务缴费及跨境支付等领域的覆盖广度虽持续扩大，但仍面临用户活跃度不足、场景碎片化与跨境互联互通机制薄弱等瓶颈。研究聚焦于剖析技术适配性、公众认知度及政策协同等关键问题，探索通过深化场景创新（如绿色金融、智慧城市）、优化数字基建生态及加强国际合作等路径，为上海打造全球数字人民币应用高地、服务国家金融开放与碳中和战略提供理论与实践支撑。</w:t>
      </w:r>
    </w:p>
    <w:p w14:paraId="00A92324">
      <w:pPr>
        <w:rPr>
          <w:rFonts w:ascii="仿宋" w:hAnsi="仿宋" w:eastAsia="仿宋"/>
          <w:b/>
          <w:bCs/>
          <w:sz w:val="32"/>
          <w:szCs w:val="32"/>
        </w:rPr>
      </w:pPr>
      <w:r>
        <w:rPr>
          <w:rFonts w:hint="eastAsia" w:ascii="仿宋" w:hAnsi="仿宋" w:eastAsia="仿宋"/>
          <w:b/>
          <w:bCs/>
          <w:sz w:val="32"/>
          <w:szCs w:val="32"/>
        </w:rPr>
        <w:t>本课题重点研究但不限于以下方面：</w:t>
      </w:r>
    </w:p>
    <w:p w14:paraId="0CEA36CF">
      <w:pPr>
        <w:ind w:firstLine="640" w:firstLineChars="200"/>
        <w:jc w:val="left"/>
        <w:rPr>
          <w:rFonts w:hint="eastAsia" w:ascii="仿宋" w:hAnsi="仿宋" w:eastAsia="仿宋"/>
          <w:bCs/>
          <w:sz w:val="32"/>
          <w:szCs w:val="32"/>
        </w:rPr>
      </w:pPr>
      <w:r>
        <w:rPr>
          <w:rFonts w:hint="eastAsia" w:ascii="仿宋" w:hAnsi="仿宋" w:eastAsia="仿宋"/>
          <w:bCs/>
          <w:sz w:val="32"/>
          <w:szCs w:val="32"/>
        </w:rPr>
        <w:t>上海数字人民币应用场景融合</w:t>
      </w:r>
      <w:r>
        <w:rPr>
          <w:rFonts w:hint="eastAsia" w:ascii="仿宋" w:hAnsi="仿宋" w:eastAsia="仿宋"/>
          <w:bCs/>
          <w:sz w:val="32"/>
          <w:szCs w:val="32"/>
          <w:lang w:eastAsia="zh-CN"/>
        </w:rPr>
        <w:t>；上海数字人民币</w:t>
      </w:r>
      <w:r>
        <w:rPr>
          <w:rFonts w:hint="eastAsia" w:ascii="仿宋" w:hAnsi="仿宋" w:eastAsia="仿宋"/>
          <w:bCs/>
          <w:sz w:val="32"/>
          <w:szCs w:val="32"/>
        </w:rPr>
        <w:t>跨境互联及政策创新</w:t>
      </w:r>
      <w:r>
        <w:rPr>
          <w:rFonts w:hint="eastAsia" w:ascii="仿宋" w:hAnsi="仿宋" w:eastAsia="仿宋"/>
          <w:bCs/>
          <w:sz w:val="32"/>
          <w:szCs w:val="32"/>
          <w:lang w:eastAsia="zh-CN"/>
        </w:rPr>
        <w:t>；上海数字人民币</w:t>
      </w:r>
      <w:r>
        <w:rPr>
          <w:rFonts w:hint="eastAsia" w:ascii="仿宋" w:hAnsi="仿宋" w:eastAsia="仿宋"/>
          <w:bCs/>
          <w:sz w:val="32"/>
          <w:szCs w:val="32"/>
        </w:rPr>
        <w:t>国际化与数字经济高质量发展。</w:t>
      </w:r>
    </w:p>
    <w:p w14:paraId="1D5F9407">
      <w:pPr>
        <w:rPr>
          <w:rFonts w:ascii="仿宋" w:hAnsi="仿宋" w:eastAsia="仿宋"/>
          <w:bCs/>
          <w:sz w:val="32"/>
          <w:szCs w:val="32"/>
        </w:rPr>
      </w:pPr>
    </w:p>
    <w:p w14:paraId="4AF7CC2D">
      <w:pPr>
        <w:rPr>
          <w:rFonts w:ascii="仿宋" w:hAnsi="仿宋" w:eastAsia="仿宋"/>
          <w:bCs/>
          <w:sz w:val="32"/>
          <w:szCs w:val="32"/>
        </w:rPr>
      </w:pPr>
    </w:p>
    <w:p w14:paraId="3ACD13BE">
      <w:pPr>
        <w:ind w:firstLine="640" w:firstLineChars="200"/>
        <w:rPr>
          <w:rFonts w:ascii="仿宋" w:hAnsi="仿宋" w:eastAsia="仿宋"/>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B5EE"/>
    <w:multiLevelType w:val="singleLevel"/>
    <w:tmpl w:val="3B88B5EE"/>
    <w:lvl w:ilvl="0" w:tentative="0">
      <w:start w:val="2"/>
      <w:numFmt w:val="decimal"/>
      <w:suff w:val="nothing"/>
      <w:lvlText w:val="%1、"/>
      <w:lvlJc w:val="left"/>
    </w:lvl>
  </w:abstractNum>
  <w:abstractNum w:abstractNumId="1">
    <w:nsid w:val="7FD2EF03"/>
    <w:multiLevelType w:val="singleLevel"/>
    <w:tmpl w:val="7FD2EF03"/>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4D"/>
    <w:rsid w:val="00035783"/>
    <w:rsid w:val="00060C39"/>
    <w:rsid w:val="0009285F"/>
    <w:rsid w:val="000B3C3A"/>
    <w:rsid w:val="00113DC4"/>
    <w:rsid w:val="001E5F3E"/>
    <w:rsid w:val="001E6679"/>
    <w:rsid w:val="001F5C10"/>
    <w:rsid w:val="00232599"/>
    <w:rsid w:val="00276ABE"/>
    <w:rsid w:val="002A2059"/>
    <w:rsid w:val="002C3A40"/>
    <w:rsid w:val="002F6DFB"/>
    <w:rsid w:val="0031577C"/>
    <w:rsid w:val="0035788F"/>
    <w:rsid w:val="00361DB1"/>
    <w:rsid w:val="003E1A15"/>
    <w:rsid w:val="00442DD0"/>
    <w:rsid w:val="004800FC"/>
    <w:rsid w:val="00525BD5"/>
    <w:rsid w:val="00595B85"/>
    <w:rsid w:val="005C3CE6"/>
    <w:rsid w:val="00612563"/>
    <w:rsid w:val="006324DD"/>
    <w:rsid w:val="006E436B"/>
    <w:rsid w:val="006F5CD7"/>
    <w:rsid w:val="00767C11"/>
    <w:rsid w:val="0077534B"/>
    <w:rsid w:val="007B15E7"/>
    <w:rsid w:val="007E6194"/>
    <w:rsid w:val="007E6431"/>
    <w:rsid w:val="00813411"/>
    <w:rsid w:val="0083624D"/>
    <w:rsid w:val="0084762D"/>
    <w:rsid w:val="00876DDB"/>
    <w:rsid w:val="009F17F6"/>
    <w:rsid w:val="00A13020"/>
    <w:rsid w:val="00A46AD0"/>
    <w:rsid w:val="00B51A3A"/>
    <w:rsid w:val="00B63184"/>
    <w:rsid w:val="00B813C7"/>
    <w:rsid w:val="00DE337E"/>
    <w:rsid w:val="00E50C33"/>
    <w:rsid w:val="00E77150"/>
    <w:rsid w:val="00EE7670"/>
    <w:rsid w:val="00F37AE1"/>
    <w:rsid w:val="00F809BC"/>
    <w:rsid w:val="00FC0096"/>
    <w:rsid w:val="00FF49F8"/>
    <w:rsid w:val="00FF5B9C"/>
    <w:rsid w:val="07BF505C"/>
    <w:rsid w:val="098E3A7F"/>
    <w:rsid w:val="099472E7"/>
    <w:rsid w:val="0AD819CA"/>
    <w:rsid w:val="0C935F81"/>
    <w:rsid w:val="0CF2517E"/>
    <w:rsid w:val="0EA24254"/>
    <w:rsid w:val="11050ACA"/>
    <w:rsid w:val="11495EE1"/>
    <w:rsid w:val="11EB4164"/>
    <w:rsid w:val="149E726C"/>
    <w:rsid w:val="14A5684C"/>
    <w:rsid w:val="1B423FAF"/>
    <w:rsid w:val="1B7F1479"/>
    <w:rsid w:val="1C6C2DCF"/>
    <w:rsid w:val="1D0F39CD"/>
    <w:rsid w:val="1D6068C7"/>
    <w:rsid w:val="1D964ABA"/>
    <w:rsid w:val="1DE96751"/>
    <w:rsid w:val="1DEB588C"/>
    <w:rsid w:val="1EBF0F62"/>
    <w:rsid w:val="21F52495"/>
    <w:rsid w:val="22DF73CD"/>
    <w:rsid w:val="24407927"/>
    <w:rsid w:val="2A375D41"/>
    <w:rsid w:val="2AFD73C3"/>
    <w:rsid w:val="2B7D7783"/>
    <w:rsid w:val="2C673F8F"/>
    <w:rsid w:val="2E006793"/>
    <w:rsid w:val="2FB76FDC"/>
    <w:rsid w:val="305B3E0B"/>
    <w:rsid w:val="33083F8D"/>
    <w:rsid w:val="35EF127D"/>
    <w:rsid w:val="391A0D07"/>
    <w:rsid w:val="408F10AE"/>
    <w:rsid w:val="41CA1806"/>
    <w:rsid w:val="44CE7C32"/>
    <w:rsid w:val="44D12D9F"/>
    <w:rsid w:val="45BA3409"/>
    <w:rsid w:val="4729480B"/>
    <w:rsid w:val="47E15039"/>
    <w:rsid w:val="4AB665A3"/>
    <w:rsid w:val="4CE0771A"/>
    <w:rsid w:val="4F895E47"/>
    <w:rsid w:val="4FED287A"/>
    <w:rsid w:val="51474076"/>
    <w:rsid w:val="52923265"/>
    <w:rsid w:val="54D803B2"/>
    <w:rsid w:val="54DC4C6B"/>
    <w:rsid w:val="56647C0E"/>
    <w:rsid w:val="587578B0"/>
    <w:rsid w:val="587C29ED"/>
    <w:rsid w:val="598F37F6"/>
    <w:rsid w:val="5A3D0143"/>
    <w:rsid w:val="5BCE7A03"/>
    <w:rsid w:val="5FD50D19"/>
    <w:rsid w:val="62AC0373"/>
    <w:rsid w:val="62E73159"/>
    <w:rsid w:val="63EC16D0"/>
    <w:rsid w:val="657C2A83"/>
    <w:rsid w:val="65FD2C93"/>
    <w:rsid w:val="670F5764"/>
    <w:rsid w:val="6A4779AA"/>
    <w:rsid w:val="6BC66B16"/>
    <w:rsid w:val="6E2C0DAC"/>
    <w:rsid w:val="71502811"/>
    <w:rsid w:val="74884070"/>
    <w:rsid w:val="74AC4202"/>
    <w:rsid w:val="7741565A"/>
    <w:rsid w:val="77FF0A06"/>
    <w:rsid w:val="78F46178"/>
    <w:rsid w:val="7ADA5602"/>
    <w:rsid w:val="7BE91898"/>
    <w:rsid w:val="7D60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2275</Words>
  <Characters>2288</Characters>
  <Lines>16</Lines>
  <Paragraphs>4</Paragraphs>
  <TotalTime>40</TotalTime>
  <ScaleCrop>false</ScaleCrop>
  <LinksUpToDate>false</LinksUpToDate>
  <CharactersWithSpaces>2296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2024-05-13T03:07:00Z</dcterms:created>
  <dc:creator>admin</dc:creator>
  <cp:lastModifiedBy>冯晓楠</cp:lastModifiedBy>
  <dcterms:modified xsi:type="dcterms:W3CDTF">2025-06-20T06:29:10Z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eyJoZGlkIjoiYWQyNWVjZWM2NTk5MDg1ZTViZDdkYzE2OGE0MTk4OGMiLCJ1c2VySWQiOiI0OTQwOTUzOTUifQ==</vt:lpwstr>
  </property>
  <property fmtid="{D5CDD505-2E9C-101B-9397-08002B2CF9AE}" pid="3" name="KSOProductBuildVer">
    <vt:lpwstr>2052-12.1.0.21171</vt:lpwstr>
  </property>
  <property fmtid="{D5CDD505-2E9C-101B-9397-08002B2CF9AE}" pid="4" name="ICV">
    <vt:lpwstr>75E5B060B0824239AD0D34C9C7E2BE7F_12</vt:lpwstr>
  </property>
</Properties>
</file>