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3</w:t>
      </w:r>
    </w:p>
    <w:p>
      <w:pPr>
        <w:pStyle w:val="2"/>
        <w:rPr>
          <w:rFonts w:ascii="Times New Roman" w:hAnsi="Times New Roman" w:eastAsia="方正仿宋_GB2312" w:cs="Times New Roman"/>
          <w:sz w:val="32"/>
          <w:szCs w:val="32"/>
        </w:rPr>
      </w:pPr>
    </w:p>
    <w:p>
      <w:pPr>
        <w:pStyle w:val="2"/>
        <w:spacing w:before="9"/>
        <w:jc w:val="center"/>
        <w:rPr>
          <w:rFonts w:hint="eastAsia" w:ascii="Times New Roman" w:hAnsi="Times New Roman" w:eastAsia="方正小标宋简体" w:cs="Times New Roman"/>
          <w:b/>
          <w:bCs/>
          <w:color w:val="000000"/>
          <w:sz w:val="36"/>
          <w:szCs w:val="36"/>
          <w:lang w:val="en-US" w:bidi="zh-TW"/>
        </w:rPr>
      </w:pPr>
      <w:r>
        <w:rPr>
          <w:rFonts w:ascii="Times New Roman" w:hAnsi="Times New Roman" w:eastAsia="方正小标宋简体" w:cs="Times New Roman"/>
          <w:b/>
          <w:bCs/>
          <w:color w:val="000000"/>
          <w:sz w:val="36"/>
          <w:szCs w:val="36"/>
          <w:lang w:val="en-US" w:bidi="zh-TW"/>
        </w:rPr>
        <w:t>上海</w:t>
      </w:r>
      <w:r>
        <w:rPr>
          <w:rFonts w:hint="eastAsia" w:ascii="Times New Roman" w:hAnsi="Times New Roman" w:eastAsia="方正小标宋简体" w:cs="Times New Roman"/>
          <w:b/>
          <w:bCs/>
          <w:color w:val="000000"/>
          <w:sz w:val="36"/>
          <w:szCs w:val="36"/>
          <w:lang w:val="en-US" w:bidi="zh-TW"/>
        </w:rPr>
        <w:t>高校202</w:t>
      </w:r>
      <w:r>
        <w:rPr>
          <w:rFonts w:hint="eastAsia" w:ascii="Times New Roman" w:hAnsi="Times New Roman" w:eastAsia="方正小标宋简体" w:cs="Times New Roman"/>
          <w:b/>
          <w:bCs/>
          <w:color w:val="000000"/>
          <w:sz w:val="36"/>
          <w:szCs w:val="36"/>
          <w:lang w:val="en-US" w:eastAsia="zh-CN" w:bidi="zh-TW"/>
        </w:rPr>
        <w:t>2</w:t>
      </w:r>
      <w:r>
        <w:rPr>
          <w:rFonts w:ascii="Times New Roman" w:hAnsi="Times New Roman" w:eastAsia="方正小标宋简体" w:cs="Times New Roman"/>
          <w:b/>
          <w:bCs/>
          <w:color w:val="000000"/>
          <w:sz w:val="36"/>
          <w:szCs w:val="36"/>
          <w:lang w:val="en-US" w:bidi="zh-TW"/>
        </w:rPr>
        <w:t>级大学生安全教育网络教学和</w:t>
      </w:r>
      <w:r>
        <w:rPr>
          <w:rFonts w:hint="eastAsia" w:ascii="Times New Roman" w:hAnsi="Times New Roman" w:eastAsia="方正小标宋简体" w:cs="Times New Roman"/>
          <w:b/>
          <w:bCs/>
          <w:color w:val="000000"/>
          <w:sz w:val="36"/>
          <w:szCs w:val="36"/>
          <w:lang w:val="en-US" w:bidi="zh-TW"/>
        </w:rPr>
        <w:t>标准化</w:t>
      </w:r>
      <w:r>
        <w:rPr>
          <w:rFonts w:ascii="Times New Roman" w:hAnsi="Times New Roman" w:eastAsia="方正小标宋简体" w:cs="Times New Roman"/>
          <w:b/>
          <w:bCs/>
          <w:color w:val="000000"/>
          <w:sz w:val="36"/>
          <w:szCs w:val="36"/>
          <w:lang w:val="en-US" w:bidi="zh-TW"/>
        </w:rPr>
        <w:t>考试</w:t>
      </w:r>
      <w:r>
        <w:rPr>
          <w:rFonts w:hint="eastAsia" w:ascii="Times New Roman" w:hAnsi="Times New Roman" w:eastAsia="方正小标宋简体" w:cs="Times New Roman"/>
          <w:b/>
          <w:bCs/>
          <w:color w:val="000000"/>
          <w:sz w:val="36"/>
          <w:szCs w:val="36"/>
          <w:lang w:val="en-US" w:bidi="zh-TW"/>
        </w:rPr>
        <w:t>考核要求及操作</w:t>
      </w:r>
      <w:r>
        <w:rPr>
          <w:rFonts w:ascii="Times New Roman" w:hAnsi="Times New Roman" w:eastAsia="方正小标宋简体" w:cs="Times New Roman"/>
          <w:b/>
          <w:bCs/>
          <w:color w:val="000000"/>
          <w:sz w:val="36"/>
          <w:szCs w:val="36"/>
          <w:lang w:val="en-US" w:bidi="zh-TW"/>
        </w:rPr>
        <w:t>说明</w:t>
      </w:r>
      <w:r>
        <w:rPr>
          <w:rFonts w:hint="eastAsia" w:ascii="Times New Roman" w:hAnsi="Times New Roman" w:eastAsia="方正小标宋简体" w:cs="Times New Roman"/>
          <w:b/>
          <w:bCs/>
          <w:color w:val="000000"/>
          <w:sz w:val="36"/>
          <w:szCs w:val="36"/>
          <w:lang w:val="en-US" w:bidi="zh-TW"/>
        </w:rPr>
        <w:t>（本专科生）</w:t>
      </w:r>
    </w:p>
    <w:p>
      <w:pPr>
        <w:pStyle w:val="2"/>
        <w:spacing w:line="500" w:lineRule="exact"/>
        <w:ind w:firstLine="643" w:firstLineChars="200"/>
        <w:jc w:val="both"/>
        <w:rPr>
          <w:rFonts w:hint="eastAsia" w:ascii="仿宋_GB2312" w:hAnsi="仿宋_GB2312" w:eastAsia="仿宋_GB2312" w:cs="仿宋_GB2312"/>
          <w:b/>
          <w:bCs/>
          <w:sz w:val="32"/>
          <w:szCs w:val="32"/>
          <w:lang w:val="en-US"/>
        </w:rPr>
      </w:pPr>
    </w:p>
    <w:p>
      <w:pPr>
        <w:pStyle w:val="2"/>
        <w:spacing w:line="50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一、考核</w:t>
      </w:r>
      <w:r>
        <w:rPr>
          <w:rFonts w:hint="eastAsia" w:ascii="仿宋_GB2312" w:hAnsi="仿宋_GB2312" w:eastAsia="仿宋_GB2312" w:cs="仿宋_GB2312"/>
          <w:b/>
          <w:bCs/>
          <w:sz w:val="32"/>
          <w:szCs w:val="32"/>
        </w:rPr>
        <w:t>要求</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1.考核内容。考核内容包括须完成</w:t>
      </w:r>
      <w:r>
        <w:rPr>
          <w:rFonts w:hint="eastAsia" w:ascii="仿宋_GB2312" w:hAnsi="仿宋_GB2312" w:eastAsia="仿宋_GB2312" w:cs="仿宋_GB2312"/>
          <w:sz w:val="32"/>
          <w:szCs w:val="32"/>
          <w:highlight w:val="none"/>
          <w:lang w:val="en-US"/>
        </w:rPr>
        <w:t>160个</w:t>
      </w:r>
      <w:r>
        <w:rPr>
          <w:rFonts w:hint="eastAsia" w:ascii="仿宋_GB2312" w:hAnsi="仿宋_GB2312" w:eastAsia="仿宋_GB2312" w:cs="仿宋_GB2312"/>
          <w:sz w:val="32"/>
          <w:szCs w:val="32"/>
          <w:lang w:val="en-US"/>
        </w:rPr>
        <w:t>学习任务点（必修143个、选修17个）、两</w:t>
      </w:r>
      <w:r>
        <w:rPr>
          <w:rFonts w:hint="eastAsia" w:ascii="仿宋_GB2312" w:hAnsi="仿宋_GB2312" w:eastAsia="仿宋_GB2312" w:cs="仿宋_GB2312"/>
          <w:sz w:val="32"/>
          <w:szCs w:val="32"/>
        </w:rPr>
        <w:t>次模拟考试</w:t>
      </w:r>
      <w:r>
        <w:rPr>
          <w:rFonts w:hint="eastAsia" w:ascii="仿宋_GB2312" w:hAnsi="仿宋_GB2312" w:eastAsia="仿宋_GB2312" w:cs="仿宋_GB2312"/>
          <w:sz w:val="32"/>
          <w:szCs w:val="32"/>
          <w:lang w:val="en-US"/>
        </w:rPr>
        <w:t>以及正式考试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其中，</w:t>
      </w:r>
      <w:r>
        <w:rPr>
          <w:rFonts w:hint="eastAsia" w:ascii="仿宋_GB2312" w:hAnsi="仿宋_GB2312" w:eastAsia="仿宋_GB2312" w:cs="仿宋_GB2312"/>
          <w:sz w:val="32"/>
          <w:szCs w:val="32"/>
        </w:rPr>
        <w:t>必修部分</w:t>
      </w:r>
      <w:r>
        <w:rPr>
          <w:rFonts w:hint="eastAsia" w:ascii="仿宋_GB2312" w:hAnsi="仿宋_GB2312" w:eastAsia="仿宋_GB2312" w:cs="仿宋_GB2312"/>
          <w:sz w:val="32"/>
          <w:szCs w:val="32"/>
          <w:lang w:val="en-US"/>
        </w:rPr>
        <w:t>含116</w:t>
      </w:r>
      <w:r>
        <w:rPr>
          <w:rFonts w:hint="eastAsia" w:ascii="仿宋_GB2312" w:hAnsi="仿宋_GB2312" w:eastAsia="仿宋_GB2312" w:cs="仿宋_GB2312"/>
          <w:sz w:val="32"/>
          <w:szCs w:val="32"/>
        </w:rPr>
        <w:t>个章节</w:t>
      </w:r>
      <w:r>
        <w:rPr>
          <w:rFonts w:hint="eastAsia" w:ascii="仿宋_GB2312" w:hAnsi="仿宋_GB2312" w:eastAsia="仿宋_GB2312" w:cs="仿宋_GB2312"/>
          <w:sz w:val="32"/>
          <w:szCs w:val="32"/>
          <w:lang w:val="en-US"/>
        </w:rPr>
        <w:t>共</w:t>
      </w:r>
      <w:r>
        <w:rPr>
          <w:rFonts w:hint="eastAsia" w:ascii="仿宋_GB2312" w:hAnsi="仿宋_GB2312" w:eastAsia="仿宋_GB2312" w:cs="仿宋_GB2312"/>
          <w:sz w:val="32"/>
          <w:szCs w:val="32"/>
        </w:rPr>
        <w:t>计</w:t>
      </w:r>
      <w:r>
        <w:rPr>
          <w:rFonts w:hint="eastAsia" w:ascii="仿宋_GB2312" w:hAnsi="仿宋_GB2312" w:eastAsia="仿宋_GB2312" w:cs="仿宋_GB2312"/>
          <w:sz w:val="32"/>
          <w:szCs w:val="32"/>
          <w:lang w:val="en-US"/>
        </w:rPr>
        <w:t>143</w:t>
      </w:r>
      <w:r>
        <w:rPr>
          <w:rFonts w:hint="eastAsia" w:ascii="仿宋_GB2312" w:hAnsi="仿宋_GB2312" w:eastAsia="仿宋_GB2312" w:cs="仿宋_GB2312"/>
          <w:sz w:val="32"/>
          <w:szCs w:val="32"/>
        </w:rPr>
        <w:t>个任务点，须全部完成学习；选修</w:t>
      </w:r>
      <w:r>
        <w:rPr>
          <w:rFonts w:hint="eastAsia" w:ascii="仿宋_GB2312" w:hAnsi="仿宋_GB2312" w:eastAsia="仿宋_GB2312" w:cs="仿宋_GB2312"/>
          <w:sz w:val="32"/>
          <w:szCs w:val="32"/>
          <w:lang w:val="en-US"/>
        </w:rPr>
        <w:t>部分含119</w:t>
      </w:r>
      <w:r>
        <w:rPr>
          <w:rFonts w:hint="eastAsia" w:ascii="仿宋_GB2312" w:hAnsi="仿宋_GB2312" w:eastAsia="仿宋_GB2312" w:cs="仿宋_GB2312"/>
          <w:sz w:val="32"/>
          <w:szCs w:val="32"/>
        </w:rPr>
        <w:t>个章节</w:t>
      </w:r>
      <w:r>
        <w:rPr>
          <w:rFonts w:hint="eastAsia" w:ascii="仿宋_GB2312" w:hAnsi="仿宋_GB2312" w:eastAsia="仿宋_GB2312" w:cs="仿宋_GB2312"/>
          <w:sz w:val="32"/>
          <w:szCs w:val="32"/>
          <w:lang w:val="en-US"/>
        </w:rPr>
        <w:t>共计176</w:t>
      </w:r>
      <w:r>
        <w:rPr>
          <w:rFonts w:hint="eastAsia" w:ascii="仿宋_GB2312" w:hAnsi="仿宋_GB2312" w:eastAsia="仿宋_GB2312" w:cs="仿宋_GB2312"/>
          <w:sz w:val="32"/>
          <w:szCs w:val="32"/>
        </w:rPr>
        <w:t>个任务点，须</w:t>
      </w:r>
      <w:r>
        <w:rPr>
          <w:rFonts w:hint="eastAsia" w:ascii="仿宋_GB2312" w:hAnsi="仿宋_GB2312" w:eastAsia="仿宋_GB2312" w:cs="仿宋_GB2312"/>
          <w:sz w:val="32"/>
          <w:szCs w:val="32"/>
          <w:lang w:val="en-US"/>
        </w:rPr>
        <w:t>至少完成17个任务点学习。</w:t>
      </w:r>
    </w:p>
    <w:p>
      <w:pPr>
        <w:pStyle w:val="2"/>
        <w:spacing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2.考核方式。160个</w:t>
      </w:r>
      <w:r>
        <w:rPr>
          <w:rFonts w:hint="eastAsia" w:ascii="仿宋_GB2312" w:hAnsi="仿宋_GB2312" w:eastAsia="仿宋_GB2312" w:cs="仿宋_GB2312"/>
          <w:sz w:val="32"/>
          <w:szCs w:val="32"/>
        </w:rPr>
        <w:t>学习任务点</w:t>
      </w:r>
      <w:r>
        <w:rPr>
          <w:rFonts w:hint="eastAsia" w:ascii="仿宋_GB2312" w:hAnsi="仿宋_GB2312" w:eastAsia="仿宋_GB2312" w:cs="仿宋_GB2312"/>
          <w:sz w:val="32"/>
          <w:szCs w:val="32"/>
          <w:lang w:val="en-US"/>
        </w:rPr>
        <w:t>和两</w:t>
      </w:r>
      <w:r>
        <w:rPr>
          <w:rFonts w:hint="eastAsia" w:ascii="仿宋_GB2312" w:hAnsi="仿宋_GB2312" w:eastAsia="仿宋_GB2312" w:cs="仿宋_GB2312"/>
          <w:sz w:val="32"/>
          <w:szCs w:val="32"/>
        </w:rPr>
        <w:t>次模拟考试完成后方可参加正式考试，正式</w:t>
      </w:r>
      <w:r>
        <w:rPr>
          <w:rFonts w:hint="eastAsia" w:ascii="仿宋_GB2312" w:hAnsi="仿宋_GB2312" w:eastAsia="仿宋_GB2312" w:cs="仿宋_GB2312"/>
          <w:sz w:val="32"/>
          <w:szCs w:val="32"/>
          <w:lang w:val="en-US"/>
        </w:rPr>
        <w:t>考试</w:t>
      </w:r>
      <w:r>
        <w:rPr>
          <w:rFonts w:hint="eastAsia" w:ascii="仿宋_GB2312" w:hAnsi="仿宋_GB2312" w:eastAsia="仿宋_GB2312" w:cs="仿宋_GB2312"/>
          <w:sz w:val="32"/>
          <w:szCs w:val="32"/>
        </w:rPr>
        <w:t>成绩</w:t>
      </w:r>
      <w:r>
        <w:rPr>
          <w:rFonts w:hint="eastAsia" w:ascii="仿宋_GB2312" w:hAnsi="仿宋_GB2312" w:eastAsia="仿宋_GB2312" w:cs="仿宋_GB2312"/>
          <w:sz w:val="32"/>
          <w:szCs w:val="32"/>
          <w:lang w:val="en-US"/>
        </w:rPr>
        <w:t>合格（60分以上）视为通过，正式考试成绩</w:t>
      </w:r>
      <w:r>
        <w:rPr>
          <w:rFonts w:hint="eastAsia" w:ascii="仿宋_GB2312" w:hAnsi="仿宋_GB2312" w:eastAsia="仿宋_GB2312" w:cs="仿宋_GB2312"/>
          <w:sz w:val="32"/>
          <w:szCs w:val="32"/>
        </w:rPr>
        <w:t>优秀（</w:t>
      </w:r>
      <w:r>
        <w:rPr>
          <w:rFonts w:hint="eastAsia" w:ascii="仿宋_GB2312" w:hAnsi="仿宋_GB2312" w:eastAsia="仿宋_GB2312" w:cs="仿宋_GB2312"/>
          <w:sz w:val="32"/>
          <w:szCs w:val="32"/>
          <w:lang w:val="en-US"/>
        </w:rPr>
        <w:t>90分以上</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rPr>
        <w:t>个人</w:t>
      </w:r>
      <w:r>
        <w:rPr>
          <w:rFonts w:hint="eastAsia" w:ascii="仿宋_GB2312" w:hAnsi="仿宋_GB2312" w:eastAsia="仿宋_GB2312" w:cs="仿宋_GB2312"/>
          <w:sz w:val="32"/>
          <w:szCs w:val="32"/>
        </w:rPr>
        <w:t>可以打印优秀等级证书。</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3.考核要求。各高校大学生（本专科生）学习、考试总通过率90%以上。</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4.截止日期。202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val="en-US"/>
        </w:rPr>
        <w:t>大学生（本专科生）安全教育网络教学和标准化考试</w:t>
      </w:r>
      <w:r>
        <w:rPr>
          <w:rFonts w:hint="eastAsia" w:ascii="仿宋_GB2312" w:hAnsi="仿宋_GB2312" w:eastAsia="仿宋_GB2312" w:cs="仿宋_GB2312"/>
          <w:sz w:val="32"/>
          <w:szCs w:val="32"/>
        </w:rPr>
        <w:t>工作自本通知发布之日起开展，截止日期为20</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年8月31日。</w:t>
      </w:r>
    </w:p>
    <w:p>
      <w:pPr>
        <w:pStyle w:val="2"/>
        <w:spacing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本文中未提及事宜，按照《上海市教育委员会关于开展本市大学生安全教育网络教学和安全教育标准化考试的通知》（沪教委保〔2017〕3号）相关要求执行。</w:t>
      </w:r>
    </w:p>
    <w:p>
      <w:pPr>
        <w:pStyle w:val="2"/>
        <w:spacing w:line="500" w:lineRule="exact"/>
        <w:ind w:firstLine="640" w:firstLineChars="200"/>
        <w:jc w:val="both"/>
        <w:rPr>
          <w:rFonts w:hint="eastAsia" w:ascii="仿宋_GB2312" w:hAnsi="仿宋_GB2312" w:eastAsia="仿宋_GB2312" w:cs="仿宋_GB2312"/>
          <w:sz w:val="32"/>
          <w:szCs w:val="32"/>
        </w:rPr>
      </w:pPr>
    </w:p>
    <w:p>
      <w:pPr>
        <w:pStyle w:val="2"/>
        <w:spacing w:line="50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二、操作说明</w:t>
      </w:r>
    </w:p>
    <w:p>
      <w:pPr>
        <w:pStyle w:val="2"/>
        <w:spacing w:line="500" w:lineRule="exact"/>
        <w:ind w:firstLine="643" w:firstLineChars="200"/>
        <w:jc w:val="both"/>
        <w:rPr>
          <w:rFonts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1.电脑客户端</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napToGrid w:val="0"/>
          <w:sz w:val="32"/>
          <w:szCs w:val="32"/>
        </w:rPr>
        <w:t>方式</w:t>
      </w:r>
      <w:r>
        <w:rPr>
          <w:rFonts w:hint="eastAsia" w:ascii="仿宋_GB2312" w:hAnsi="仿宋_GB2312" w:eastAsia="仿宋_GB2312" w:cs="仿宋_GB2312"/>
          <w:snapToGrid w:val="0"/>
          <w:sz w:val="32"/>
          <w:szCs w:val="32"/>
          <w:lang w:val="en-US"/>
        </w:rPr>
        <w:t>1：登录</w:t>
      </w:r>
      <w:r>
        <w:rPr>
          <w:rFonts w:hint="eastAsia" w:ascii="仿宋_GB2312" w:hAnsi="仿宋_GB2312" w:eastAsia="仿宋_GB2312" w:cs="仿宋_GB2312"/>
          <w:snapToGrid w:val="0"/>
          <w:sz w:val="32"/>
          <w:szCs w:val="32"/>
        </w:rPr>
        <w:t>上海市高校保卫学会网站</w:t>
      </w:r>
      <w:r>
        <w:rPr>
          <w:rFonts w:hint="eastAsia" w:ascii="仿宋_GB2312" w:hAnsi="仿宋_GB2312" w:eastAsia="仿宋_GB2312" w:cs="仿宋_GB2312"/>
          <w:sz w:val="32"/>
          <w:szCs w:val="32"/>
          <w:lang w:val="en-US"/>
        </w:rPr>
        <w:t>：</w:t>
      </w:r>
      <w:r>
        <w:rPr>
          <w:rFonts w:ascii="仿宋_GB2312" w:hAnsi="仿宋_GB2312" w:eastAsia="仿宋_GB2312" w:cs="仿宋_GB2312"/>
          <w:sz w:val="32"/>
          <w:szCs w:val="32"/>
          <w:lang w:val="en-US"/>
        </w:rPr>
        <w:fldChar w:fldCharType="begin"/>
      </w:r>
      <w:r>
        <w:rPr>
          <w:rFonts w:ascii="仿宋_GB2312" w:hAnsi="仿宋_GB2312" w:eastAsia="仿宋_GB2312" w:cs="仿宋_GB2312"/>
          <w:sz w:val="32"/>
          <w:szCs w:val="32"/>
          <w:lang w:val="en-US"/>
        </w:rPr>
        <w:instrText xml:space="preserve"> HYPERLINK "</w:instrText>
      </w:r>
      <w:r>
        <w:rPr>
          <w:rFonts w:hint="eastAsia" w:ascii="仿宋_GB2312" w:hAnsi="仿宋_GB2312" w:eastAsia="仿宋_GB2312" w:cs="仿宋_GB2312"/>
          <w:sz w:val="32"/>
          <w:szCs w:val="32"/>
          <w:lang w:val="en-US"/>
        </w:rPr>
        <w:instrText xml:space="preserve">https://shus.shec.edu.cn</w:instrText>
      </w:r>
      <w:r>
        <w:rPr>
          <w:rFonts w:ascii="仿宋_GB2312" w:hAnsi="仿宋_GB2312" w:eastAsia="仿宋_GB2312" w:cs="仿宋_GB2312"/>
          <w:sz w:val="32"/>
          <w:szCs w:val="32"/>
          <w:lang w:val="en-US"/>
        </w:rPr>
        <w:instrText xml:space="preserve">" </w:instrText>
      </w:r>
      <w:r>
        <w:rPr>
          <w:rFonts w:ascii="仿宋_GB2312" w:hAnsi="仿宋_GB2312" w:eastAsia="仿宋_GB2312" w:cs="仿宋_GB2312"/>
          <w:sz w:val="32"/>
          <w:szCs w:val="32"/>
          <w:lang w:val="en-US"/>
        </w:rPr>
        <w:fldChar w:fldCharType="separate"/>
      </w:r>
      <w:r>
        <w:rPr>
          <w:rStyle w:val="5"/>
          <w:rFonts w:hint="eastAsia" w:ascii="仿宋_GB2312" w:hAnsi="仿宋_GB2312" w:eastAsia="仿宋_GB2312" w:cs="仿宋_GB2312"/>
          <w:sz w:val="32"/>
          <w:szCs w:val="32"/>
          <w:lang w:val="en-US"/>
        </w:rPr>
        <w:t>https://shus.shec.edu.cn</w:t>
      </w:r>
      <w:r>
        <w:rPr>
          <w:rFonts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lang w:val="en-US"/>
        </w:rPr>
        <w:t xml:space="preserve">   </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点击“上海市大学生安全教育在线（学习与考试）”——“</w:t>
      </w:r>
      <w:r>
        <w:rPr>
          <w:rFonts w:hint="eastAsia" w:ascii="仿宋_GB2312" w:hAnsi="仿宋_GB2312" w:eastAsia="仿宋_GB2312" w:cs="仿宋_GB2312"/>
          <w:sz w:val="32"/>
          <w:szCs w:val="32"/>
          <w:lang w:val="en-US" w:eastAsia="zh-Hans"/>
        </w:rPr>
        <w:t>本专科</w:t>
      </w:r>
      <w:r>
        <w:rPr>
          <w:rFonts w:hint="eastAsia" w:ascii="仿宋_GB2312" w:hAnsi="仿宋_GB2312" w:eastAsia="仿宋_GB2312" w:cs="仿宋_GB2312"/>
          <w:sz w:val="32"/>
          <w:szCs w:val="32"/>
          <w:lang w:val="en-US"/>
        </w:rPr>
        <w:t>登录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选择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新用户注册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完善信息（</w:t>
      </w:r>
      <w:r>
        <w:rPr>
          <w:rFonts w:hint="eastAsia" w:ascii="仿宋_GB2312" w:hAnsi="仿宋_GB2312" w:eastAsia="仿宋_GB2312" w:cs="仿宋_GB2312"/>
          <w:sz w:val="32"/>
          <w:szCs w:val="32"/>
          <w:lang w:val="en-US" w:eastAsia="zh-Hans"/>
        </w:rPr>
        <w:t>请</w:t>
      </w:r>
      <w:r>
        <w:rPr>
          <w:rFonts w:hint="eastAsia" w:ascii="仿宋_GB2312" w:hAnsi="仿宋_GB2312" w:eastAsia="仿宋_GB2312" w:cs="仿宋_GB2312"/>
          <w:sz w:val="32"/>
          <w:szCs w:val="32"/>
          <w:lang w:val="en-US"/>
        </w:rPr>
        <w:t>完整填写学校、学号、姓名信息）。</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方式2：登录上海市大学生安全教育在线（</w:t>
      </w:r>
      <w:r>
        <w:rPr>
          <w:rFonts w:hint="eastAsia" w:ascii="仿宋_GB2312" w:hAnsi="仿宋_GB2312" w:eastAsia="仿宋_GB2312" w:cs="仿宋_GB2312"/>
          <w:sz w:val="32"/>
          <w:szCs w:val="32"/>
          <w:lang w:val="en-US"/>
        </w:rPr>
        <w:t>学习与考试</w:t>
      </w:r>
      <w:r>
        <w:rPr>
          <w:rFonts w:hint="eastAsia" w:ascii="仿宋_GB2312" w:hAnsi="仿宋_GB2312" w:eastAsia="仿宋_GB2312" w:cs="仿宋_GB2312"/>
          <w:sz w:val="32"/>
          <w:szCs w:val="32"/>
        </w:rPr>
        <w:t>）网站：</w:t>
      </w:r>
      <w:r>
        <w:rPr>
          <w:rFonts w:ascii="仿宋_GB2312" w:hAnsi="仿宋_GB2312" w:eastAsia="仿宋_GB2312" w:cs="仿宋_GB2312"/>
          <w:sz w:val="32"/>
          <w:szCs w:val="32"/>
          <w:lang w:val="en-US"/>
        </w:rPr>
        <w:fldChar w:fldCharType="begin"/>
      </w:r>
      <w:r>
        <w:rPr>
          <w:rFonts w:ascii="仿宋_GB2312" w:hAnsi="仿宋_GB2312" w:eastAsia="仿宋_GB2312" w:cs="仿宋_GB2312"/>
          <w:sz w:val="32"/>
          <w:szCs w:val="32"/>
          <w:lang w:val="en-US"/>
        </w:rPr>
        <w:instrText xml:space="preserve"> HYPERLINK "http://shanghaius.fanya.chaoxing.com/portal" \h </w:instrText>
      </w:r>
      <w:r>
        <w:rPr>
          <w:rFonts w:ascii="仿宋_GB2312" w:hAnsi="仿宋_GB2312" w:eastAsia="仿宋_GB2312" w:cs="仿宋_GB2312"/>
          <w:sz w:val="32"/>
          <w:szCs w:val="32"/>
          <w:lang w:val="en-US"/>
        </w:rPr>
        <w:fldChar w:fldCharType="separate"/>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highlight w:val="none"/>
          <w:lang w:val="en-US"/>
        </w:rPr>
        <w:t xml:space="preserve">https://shanghaius.mh.chaoxing.com  </w:t>
      </w:r>
      <w:r>
        <w:rPr>
          <w:rFonts w:hint="eastAsia" w:ascii="仿宋_GB2312" w:hAnsi="仿宋_GB2312" w:eastAsia="仿宋_GB2312" w:cs="仿宋_GB2312"/>
          <w:sz w:val="32"/>
          <w:szCs w:val="32"/>
          <w:lang w:val="en-US"/>
        </w:rPr>
        <w:fldChar w:fldCharType="end"/>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点击“</w:t>
      </w:r>
      <w:r>
        <w:rPr>
          <w:rFonts w:hint="eastAsia" w:ascii="仿宋_GB2312" w:hAnsi="仿宋_GB2312" w:eastAsia="仿宋_GB2312" w:cs="仿宋_GB2312"/>
          <w:sz w:val="32"/>
          <w:szCs w:val="32"/>
          <w:lang w:val="en-US" w:eastAsia="zh-Hans"/>
        </w:rPr>
        <w:t>本专科</w:t>
      </w:r>
      <w:r>
        <w:rPr>
          <w:rFonts w:hint="eastAsia" w:ascii="仿宋_GB2312" w:hAnsi="仿宋_GB2312" w:eastAsia="仿宋_GB2312" w:cs="仿宋_GB2312"/>
          <w:sz w:val="32"/>
          <w:szCs w:val="32"/>
          <w:lang w:val="en-US"/>
        </w:rPr>
        <w:t>登录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选择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新用户</w:t>
      </w:r>
      <w:bookmarkStart w:id="0" w:name="_GoBack"/>
      <w:bookmarkEnd w:id="0"/>
      <w:r>
        <w:rPr>
          <w:rFonts w:hint="eastAsia" w:ascii="仿宋_GB2312" w:hAnsi="仿宋_GB2312" w:eastAsia="仿宋_GB2312" w:cs="仿宋_GB2312"/>
          <w:sz w:val="32"/>
          <w:szCs w:val="32"/>
          <w:lang w:val="en-US"/>
        </w:rPr>
        <w:t>注册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完善信息（</w:t>
      </w:r>
      <w:r>
        <w:rPr>
          <w:rFonts w:hint="eastAsia" w:ascii="仿宋_GB2312" w:hAnsi="仿宋_GB2312" w:eastAsia="仿宋_GB2312" w:cs="仿宋_GB2312"/>
          <w:sz w:val="32"/>
          <w:szCs w:val="32"/>
          <w:lang w:val="en-US" w:eastAsia="zh-Hans"/>
        </w:rPr>
        <w:t>请</w:t>
      </w:r>
      <w:r>
        <w:rPr>
          <w:rFonts w:hint="eastAsia" w:ascii="仿宋_GB2312" w:hAnsi="仿宋_GB2312" w:eastAsia="仿宋_GB2312" w:cs="仿宋_GB2312"/>
          <w:sz w:val="32"/>
          <w:szCs w:val="32"/>
          <w:lang w:val="en-US"/>
        </w:rPr>
        <w:t>完整填写学校、学号、姓名信息）。</w:t>
      </w:r>
    </w:p>
    <w:p>
      <w:pPr>
        <w:pStyle w:val="2"/>
        <w:spacing w:line="500"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网站平台新增“安全资讯”“问卷调研</w:t>
      </w:r>
      <w:r>
        <w:rPr>
          <w:rFonts w:hint="eastAsia"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eastAsia="zh-CN"/>
        </w:rPr>
        <w:t>“活动主题”</w:t>
      </w:r>
      <w:r>
        <w:rPr>
          <w:rFonts w:hint="eastAsia" w:ascii="仿宋_GB2312" w:hAnsi="仿宋_GB2312" w:eastAsia="仿宋_GB2312" w:cs="仿宋_GB2312"/>
          <w:sz w:val="32"/>
          <w:szCs w:val="32"/>
          <w:lang w:val="en-US"/>
        </w:rPr>
        <w:t>模块，鼓励学生参与互动，了解更多安全资讯，共创安全教育网络教学和标准化考试良好生态。</w:t>
      </w:r>
    </w:p>
    <w:p>
      <w:pPr>
        <w:pStyle w:val="2"/>
        <w:spacing w:line="500" w:lineRule="exact"/>
        <w:ind w:firstLine="643" w:firstLineChars="200"/>
        <w:jc w:val="both"/>
        <w:rPr>
          <w:rFonts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2.手机客户端</w:t>
      </w:r>
    </w:p>
    <w:p>
      <w:pPr>
        <w:pStyle w:val="2"/>
        <w:spacing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手机应用市场搜索下载“学习通”APP，或通过扫描下方二维码下载安装。</w:t>
      </w:r>
    </w:p>
    <w:p>
      <w:pPr>
        <w:pStyle w:val="2"/>
        <w:spacing w:line="5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bidi="ar-SA"/>
        </w:rPr>
        <w:drawing>
          <wp:anchor distT="0" distB="0" distL="114300" distR="114300" simplePos="0" relativeHeight="251659264" behindDoc="0" locked="0" layoutInCell="1" allowOverlap="1">
            <wp:simplePos x="0" y="0"/>
            <wp:positionH relativeFrom="page">
              <wp:posOffset>3049270</wp:posOffset>
            </wp:positionH>
            <wp:positionV relativeFrom="paragraph">
              <wp:posOffset>103505</wp:posOffset>
            </wp:positionV>
            <wp:extent cx="1508760" cy="1677670"/>
            <wp:effectExtent l="0" t="0" r="15240" b="24130"/>
            <wp:wrapTopAndBottom/>
            <wp:docPr id="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5.jpeg"/>
                    <pic:cNvPicPr>
                      <a:picLocks noChangeAspect="1"/>
                    </pic:cNvPicPr>
                  </pic:nvPicPr>
                  <pic:blipFill>
                    <a:blip r:embed="rId4"/>
                    <a:stretch>
                      <a:fillRect/>
                    </a:stretch>
                  </pic:blipFill>
                  <pic:spPr>
                    <a:xfrm>
                      <a:off x="0" y="0"/>
                      <a:ext cx="1508760" cy="1677670"/>
                    </a:xfrm>
                    <a:prstGeom prst="rect">
                      <a:avLst/>
                    </a:prstGeom>
                    <a:noFill/>
                    <a:ln w="9525">
                      <a:noFill/>
                    </a:ln>
                  </pic:spPr>
                </pic:pic>
              </a:graphicData>
            </a:graphic>
          </wp:anchor>
        </w:drawing>
      </w:r>
    </w:p>
    <w:p>
      <w:pPr>
        <w:pStyle w:val="2"/>
        <w:spacing w:line="500" w:lineRule="exact"/>
        <w:ind w:firstLine="640" w:firstLineChars="200"/>
        <w:jc w:val="both"/>
      </w:pPr>
      <w:r>
        <w:rPr>
          <w:rFonts w:hint="eastAsia" w:ascii="仿宋_GB2312" w:hAnsi="仿宋_GB2312" w:eastAsia="仿宋_GB2312" w:cs="仿宋_GB2312"/>
          <w:sz w:val="32"/>
          <w:szCs w:val="32"/>
        </w:rPr>
        <w:t>登录方式：</w:t>
      </w:r>
      <w:r>
        <w:rPr>
          <w:rFonts w:hint="eastAsia" w:ascii="仿宋_GB2312" w:hAnsi="仿宋_GB2312" w:eastAsia="仿宋_GB2312" w:cs="仿宋_GB2312"/>
          <w:sz w:val="32"/>
          <w:szCs w:val="32"/>
          <w:lang w:val="en-US"/>
        </w:rPr>
        <w:t>选择“新用户注册”——完善信息（</w:t>
      </w:r>
      <w:r>
        <w:rPr>
          <w:rFonts w:hint="eastAsia" w:ascii="仿宋_GB2312" w:hAnsi="仿宋_GB2312" w:eastAsia="仿宋_GB2312" w:cs="仿宋_GB2312"/>
          <w:sz w:val="32"/>
          <w:szCs w:val="32"/>
          <w:lang w:val="en-US" w:eastAsia="zh-Hans"/>
        </w:rPr>
        <w:t>请</w:t>
      </w:r>
      <w:r>
        <w:rPr>
          <w:rFonts w:hint="eastAsia" w:ascii="仿宋_GB2312" w:hAnsi="仿宋_GB2312" w:eastAsia="仿宋_GB2312" w:cs="仿宋_GB2312"/>
          <w:sz w:val="32"/>
          <w:szCs w:val="32"/>
          <w:lang w:val="en-US"/>
        </w:rPr>
        <w:t>完整填写学校、学号、姓名信息）</w:t>
      </w:r>
      <w:r>
        <w:rPr>
          <w:rFonts w:hint="eastAsia" w:ascii="仿宋_GB2312" w:hAnsi="仿宋_GB2312" w:eastAsia="仿宋_GB2312" w:cs="仿宋_GB2312"/>
          <w:sz w:val="32"/>
          <w:szCs w:val="32"/>
        </w:rPr>
        <w:t>——课程——学习——考试。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简体">
    <w:altName w:val="汉仪书宋二KW"/>
    <w:panose1 w:val="02010601030101010101"/>
    <w:charset w:val="00"/>
    <w:family w:val="script"/>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2312">
    <w:altName w:val="苹方-简"/>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330F1"/>
    <w:rsid w:val="3FF330F1"/>
    <w:rsid w:val="6E9F2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cs="宋体" w:eastAsiaTheme="minorEastAsia"/>
      <w:sz w:val="22"/>
      <w:szCs w:val="22"/>
      <w:lang w:val="zh-CN" w:eastAsia="zh-CN" w:bidi="zh-CN"/>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szCs w:val="30"/>
    </w:rPr>
  </w:style>
  <w:style w:type="paragraph" w:styleId="3">
    <w:name w:val="footer"/>
    <w:basedOn w:val="1"/>
    <w:qFormat/>
    <w:uiPriority w:val="0"/>
    <w:pPr>
      <w:tabs>
        <w:tab w:val="center" w:pos="4153"/>
        <w:tab w:val="right" w:pos="8306"/>
      </w:tabs>
      <w:snapToGrid w:val="0"/>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2023-01-13T17:10:00Z</dcterms:created>
  <dc:creator>hssiphone</dc:creator>
  <cp:lastModifiedBy>hssiphone</cp:lastModifiedBy>
  <dcterms:modified xsi:type="dcterms:W3CDTF">2023-01-13T10:58:05Z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